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0" w:line="580" w:lineRule="exact"/>
        <w:ind w:rightChars="0"/>
        <w:jc w:val="left"/>
        <w:rPr>
          <w:rFonts w:hint="eastAsia" w:ascii="方正黑体_GBK" w:hAnsi="方正黑体_GBK" w:eastAsia="方正黑体_GBK" w:cs="方正黑体_GBK"/>
          <w:color w:val="000000"/>
          <w:spacing w:val="-11"/>
          <w:sz w:val="32"/>
          <w:szCs w:val="32"/>
          <w:lang w:val="en-US" w:eastAsia="zh-CN"/>
        </w:rPr>
      </w:pPr>
      <w:r>
        <w:rPr>
          <w:rFonts w:hint="eastAsia" w:ascii="方正黑体_GBK" w:hAnsi="方正黑体_GBK" w:eastAsia="方正黑体_GBK" w:cs="方正黑体_GBK"/>
          <w:color w:val="000000"/>
          <w:spacing w:val="-11"/>
          <w:sz w:val="32"/>
          <w:szCs w:val="32"/>
          <w:lang w:val="en-US" w:eastAsia="zh-CN"/>
        </w:rPr>
        <w:t>附件</w:t>
      </w:r>
    </w:p>
    <w:p>
      <w:pPr>
        <w:snapToGrid w:val="0"/>
        <w:spacing w:before="0" w:after="0" w:line="580" w:lineRule="exact"/>
        <w:ind w:rightChars="0"/>
        <w:jc w:val="center"/>
        <w:rPr>
          <w:rFonts w:ascii="方正小标宋_GBK" w:hAnsi="方正小标宋_GBK" w:eastAsia="方正小标宋_GBK"/>
          <w:color w:val="000000"/>
          <w:spacing w:val="-11"/>
          <w:sz w:val="44"/>
          <w:szCs w:val="44"/>
        </w:rPr>
      </w:pPr>
    </w:p>
    <w:p>
      <w:pPr>
        <w:snapToGrid w:val="0"/>
        <w:spacing w:before="0" w:after="0" w:line="580" w:lineRule="exact"/>
        <w:ind w:rightChars="0"/>
        <w:jc w:val="center"/>
        <w:rPr>
          <w:rFonts w:ascii="方正小标宋_GBK" w:hAnsi="方正小标宋_GBK" w:eastAsia="方正小标宋_GBK"/>
          <w:color w:val="000000"/>
          <w:spacing w:val="-11"/>
          <w:sz w:val="44"/>
          <w:szCs w:val="44"/>
        </w:rPr>
      </w:pPr>
      <w:r>
        <w:rPr>
          <w:rFonts w:ascii="方正小标宋_GBK" w:hAnsi="方正小标宋_GBK" w:eastAsia="方正小标宋_GBK"/>
          <w:color w:val="000000"/>
          <w:spacing w:val="-11"/>
          <w:sz w:val="44"/>
          <w:szCs w:val="44"/>
        </w:rPr>
        <w:t>惠州市惠阳区区级储备粮管理办法</w:t>
      </w:r>
    </w:p>
    <w:p>
      <w:pPr>
        <w:snapToGrid w:val="0"/>
        <w:spacing w:before="0" w:after="0" w:line="580" w:lineRule="exact"/>
        <w:ind w:rightChars="0"/>
        <w:jc w:val="center"/>
        <w:rPr>
          <w:rFonts w:hint="eastAsia" w:ascii="方正楷体_GBK" w:hAnsi="方正楷体_GBK" w:eastAsia="方正楷体_GBK" w:cs="方正楷体_GBK"/>
          <w:color w:val="000000"/>
          <w:spacing w:val="-11"/>
          <w:sz w:val="32"/>
          <w:szCs w:val="32"/>
        </w:rPr>
      </w:pPr>
      <w:r>
        <w:rPr>
          <w:rFonts w:hint="eastAsia" w:ascii="方正楷体_GBK" w:hAnsi="方正楷体_GBK" w:eastAsia="方正楷体_GBK" w:cs="方正楷体_GBK"/>
          <w:color w:val="000000"/>
          <w:spacing w:val="-11"/>
          <w:sz w:val="32"/>
          <w:szCs w:val="32"/>
        </w:rPr>
        <w:t>（征求意见稿）</w:t>
      </w:r>
    </w:p>
    <w:p>
      <w:pPr>
        <w:snapToGrid w:val="0"/>
        <w:spacing w:before="0" w:after="0" w:line="580" w:lineRule="exact"/>
        <w:ind w:rightChars="0"/>
        <w:jc w:val="center"/>
        <w:rPr>
          <w:rFonts w:ascii="方正小标宋_GBK" w:hAnsi="方正小标宋_GBK" w:eastAsia="方正小标宋_GBK"/>
          <w:color w:val="000000"/>
          <w:sz w:val="32"/>
          <w:szCs w:val="32"/>
        </w:rPr>
      </w:pPr>
    </w:p>
    <w:p>
      <w:pPr>
        <w:snapToGrid w:val="0"/>
        <w:spacing w:before="0" w:after="0" w:line="580" w:lineRule="exact"/>
        <w:ind w:rightChars="0"/>
        <w:jc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第一章　总　则</w:t>
      </w:r>
    </w:p>
    <w:p>
      <w:pPr>
        <w:snapToGrid w:val="0"/>
        <w:spacing w:before="0" w:after="0" w:line="580" w:lineRule="exact"/>
        <w:ind w:rightChars="0"/>
        <w:jc w:val="center"/>
        <w:rPr>
          <w:rFonts w:ascii="方正小标宋_GBK" w:hAnsi="方正小标宋_GBK" w:eastAsia="方正小标宋_GBK"/>
          <w:color w:val="000000"/>
          <w:sz w:val="32"/>
          <w:szCs w:val="32"/>
        </w:rPr>
      </w:pP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第一条</w:t>
      </w:r>
      <w:r>
        <w:rPr>
          <w:rFonts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方正仿宋_GBK" w:hAnsi="方正仿宋_GBK" w:eastAsia="方正仿宋_GBK" w:cs="方正仿宋_GBK"/>
          <w:color w:val="000000"/>
          <w:sz w:val="32"/>
          <w:szCs w:val="32"/>
        </w:rPr>
        <w:t>为了加强区级储备粮管理，有效发挥区级储备粮在政府宏观调控、保障粮食安全中的作用，根据《粮食流通管理条例》《广东省粮食安全保障条例》等有关法律法规，以及《政府储备粮食仓储管理办法》《政府储备粮食质量安全管理办法》《广东省省级储备粮管理办法》《惠州市市级储备粮管理办法》等规定，结合本区实际，制定本办法。</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第二条</w:t>
      </w:r>
      <w:r>
        <w:rPr>
          <w:rFonts w:hint="eastAsia" w:ascii="方正黑体_GBK" w:hAnsi="方正黑体_GBK" w:eastAsia="方正黑体_GBK" w:cs="方正黑体_GBK"/>
          <w:b w:val="0"/>
          <w:bCs w:val="0"/>
          <w:color w:val="000000"/>
          <w:sz w:val="32"/>
          <w:szCs w:val="32"/>
          <w:lang w:val="en-US" w:eastAsia="zh-CN"/>
        </w:rPr>
        <w:t xml:space="preserve"> </w:t>
      </w:r>
      <w:r>
        <w:rPr>
          <w:rFonts w:ascii="仿宋" w:hAnsi="仿宋" w:eastAsia="仿宋"/>
          <w:color w:val="000000"/>
          <w:sz w:val="32"/>
          <w:szCs w:val="32"/>
        </w:rPr>
        <w:t xml:space="preserve"> </w:t>
      </w:r>
      <w:r>
        <w:rPr>
          <w:rFonts w:hint="eastAsia" w:ascii="方正仿宋_GBK" w:hAnsi="方正仿宋_GBK" w:eastAsia="方正仿宋_GBK" w:cs="方正仿宋_GBK"/>
          <w:color w:val="000000"/>
          <w:sz w:val="32"/>
          <w:szCs w:val="32"/>
        </w:rPr>
        <w:t>区级储备粮的计划、收储、销售、轮换、储存、动用及相关监督管理活动，适用本办法。</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区级储备粮是指区人民政府储备的用于全区粮食宏观调控，稳定粮食市场以及应对重大自然灾害或其他突发公共事件等情况的粮食和食用油。</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本办法所称粮食包括原粮（稻谷、小麦、玉米）和成品粮（大米、面粉），食用油包括花生油、菜籽油、豆油、调和油等。</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惠阳区人民政府（以下简称“区人民政府”）</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惠阳区财政局（以下简称“区财政部门”）</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惠阳区发展和改革局（以下简称“区发改部门”）</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中国农业发展银行惠州市惠阳支行（以下简称“惠阳农发行”）</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惠阳区粮食储备公司（以下简称“区粮食储备公司”）</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第三条</w:t>
      </w:r>
      <w:r>
        <w:rPr>
          <w:rFonts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的粮权归区人民政府，未经区人民政府或其授权的部门批准，任何单位和个人不得动用、混存、串换区级储备粮以及变更储存地点，不得将政府储备粮用于办理抵质押贷款、提供担保或清偿债务、进行期货实物交割。</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区级储备粮管理应当完善制度、严格管理、落实责任，确保储备粮数量真实、质量良好、储存安全和储得进、管得好、调得动、用得上，并节约成本和费用。</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第四条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发改部门负责拟订区级储备粮规模、品种、总体布局和动用等方案，报区人民政府批准后实施；负责区级储备粮的行政管理，会同有关部门下达区级储备粮收储、销售、轮换和调整计划（含减储、退储计划）；根据区人民政府指令下达动用计划；对区级储备粮的数量、质量和储存安全实施监督管理。</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区财政部门负责安排区级储备粮的保管费用、贷款利息、轮换差价、检验费用等，并保证及时、足额拨付；负责对区级储备粮有关财务执行情况实施监督管理。</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第五条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惠阳农发行负责按照国家和省、市、区有关规定，在风险可控的前提下，及时、足额发放区级储备粮所需贷款，并对发放的区级储备粮贷款实施信贷监管。</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第六条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区发改部门、区财政部门和惠阳农发行建立健全通报会商制度，定期研究区级储备粮管理工作，及时协调解决区级储备粮监督管理中发现的问题。 </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第七条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区粮食储备公司具体负责区级储备粮的收储、轮换和管理，并对区级储备粮的数量、质量和储存安全负责。</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区粮食储备公司应当建立、健全区级储备粮业务管理制度，并报区发改部门备案，有政策性贷款的承储企业还应向惠阳农发行备案。</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第八条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任何单位和个人不得以任何方式骗取、挤占、截留、挪用区级储备粮贷款或者管理费用、贷款利息、轮换差价等财政补贴。</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第九条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任何单位和个人不得破坏区级储备粮的仓储设施，不得偷盗、哄抢或者损毁区级储备粮。</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区级储备粮储存地的镇（街道）人民政府及有关部门对破坏区级储备粮仓储设施，偷盗、哄抢或者损毁区级储备粮的违法行为，应当及时予以制止、查处。</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任何单位和个人对区级储备粮经营管理中的违法违规行为，均有权向区发改部门等有关部门举报。区发改部门等有关部门接到举报后，应当及时查处；举报事项的处理属于其他部门职责范围的，应当及时移送其他部门处理。</w:t>
      </w:r>
    </w:p>
    <w:p>
      <w:pPr>
        <w:keepNext w:val="0"/>
        <w:keepLines w:val="0"/>
        <w:pageBreakBefore w:val="0"/>
        <w:widowControl w:val="0"/>
        <w:kinsoku/>
        <w:wordWrap/>
        <w:overflowPunct/>
        <w:topLinePunct w:val="0"/>
        <w:autoSpaceDE/>
        <w:autoSpaceDN/>
        <w:bidi w:val="0"/>
        <w:adjustRightInd/>
        <w:snapToGrid w:val="0"/>
        <w:spacing w:before="0" w:after="313" w:afterLines="100" w:line="580" w:lineRule="exact"/>
        <w:ind w:rightChars="0"/>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第二章　收储、销售和轮换</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第十一条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区级储备粮的收储计划、销售计划、轮换计划、调整计划，由区发改部门根据区人民政府批准的区级储备粮规模、品种和总体布局方案提出，</w:t>
      </w:r>
      <w:r>
        <w:rPr>
          <w:rFonts w:hint="eastAsia" w:ascii="方正仿宋_GBK" w:hAnsi="方正仿宋_GBK" w:eastAsia="方正仿宋_GBK" w:cs="方正仿宋_GBK"/>
          <w:color w:val="000000"/>
          <w:sz w:val="32"/>
          <w:szCs w:val="32"/>
          <w:lang w:eastAsia="zh-CN"/>
        </w:rPr>
        <w:t>联合区财政部门、惠阳农发行</w:t>
      </w:r>
      <w:r>
        <w:rPr>
          <w:rFonts w:hint="eastAsia" w:ascii="方正仿宋_GBK" w:hAnsi="方正仿宋_GBK" w:eastAsia="方正仿宋_GBK" w:cs="方正仿宋_GBK"/>
          <w:color w:val="000000"/>
          <w:sz w:val="32"/>
          <w:szCs w:val="32"/>
        </w:rPr>
        <w:t>下达给区粮食储备公司。</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区粮食储备公司应当根据区级储备粮收储计划、销售计划、轮换计划、调整计划，具体组织实施区级储备粮的收储、销售和轮换。</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第十二条</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区粮食储备公司应当提供收储入库的每批次粮食质量检验报告，收储入库后将收储数量、质量和储存地点等信息报区发改部门。区发改部门应当实地核查收储入库粮食的数量和储存地点，并对验收检验结果进行抽查。区发改部门对验收合格符合收储条件的粮食确认为区级储备粮，并将确认结果抄送区财政部门、惠阳农发行。</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承储企业收储的区级储备粮源应为最近粮食生产季生产的新粮，各项常规质量指标符合国家质量标准；储备食用油应为近期新加工的产品，各项常规质量指标符合国家质量标准；成品粮应为近期新加工的产品，各项常规质量指标及包装标签标识符合国家标准。</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第十三条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区级储备粮的轮换应当在规定的时间内完成，并遵循保持粮食市场稳定，防止造成市场粮价剧烈波动，节约成本、提高效率的原则。</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第十四条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区级储备粮按照均衡轮换的要求，可以采取静态轮换或者自主轮换等方式轮换。</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静态轮换是指承储企业根据区人民政府下达的区级储备粮承储计划和年度轮换计划，通过规范的粮食交易市场或者国家、省、市、区规定的其他方式公开进行轮换的行为。因市场价格波动造成的轮换盈亏纳入区级粮食风险基金，由区财政兜底。</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自主轮换是指承储企业根据区人民政府下达的区级储备粮承储计划和年度轮换计划，自主选择轮换时机、数量进行轮换的行为。区级储备粮自主轮换费用实行区财政定额包干，因市场价格波动造成的轮换盈亏由承储企业自行承担。</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级储备粮轮换应当综合考虑储存品质和储存年限。在常规储存条件和储存品质保持“宜存”前提下，各储备品种的储存年限，原则上稻谷和玉米不超过3年、小麦不超过5年（以收获时间计算）、成品粮油（含小包装）不超过1年（以生产加工时间计算），并在保质期到期之前进行轮换。因重大自然灾害或者其他突发事件等不可抗力因素，在规定时间内不能完成轮换的，承储企业必须在不可抗力因素发生后5个工作日内向区发改部门提出延期轮换的申请，经审核批准后方可延期，延期轮换时间不得超过2个月。</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为确保区级储备粮库存充足、供给稳定、减少损耗，降低运作成本，区级储备粮自主轮换比例原则上不超过40%。</w:t>
      </w:r>
    </w:p>
    <w:p>
      <w:pPr>
        <w:snapToGrid w:val="0"/>
        <w:spacing w:before="0" w:after="0" w:line="580" w:lineRule="exact"/>
        <w:ind w:rightChars="0" w:firstLine="64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第十五条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区级储备粮采取静态轮换方式的，承储企业必须按照轮换计划执行。在确保粮食储存品质符合宜存的前提下，原粮在承储期内必须全部轮换一次；储备油每年必须全部轮换一次。</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静态轮换方式轮换出入库的原粮时间间隔不得超过4个月。</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静态轮换方式轮换出入库的储备食用油时间间隔不得超过2个月。</w:t>
      </w:r>
    </w:p>
    <w:p>
      <w:pPr>
        <w:snapToGrid w:val="0"/>
        <w:spacing w:before="0" w:after="0" w:line="580" w:lineRule="exact"/>
        <w:ind w:rightChars="0" w:firstLine="64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第十六条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区级储备粮采取自主轮换方式的， 承储企业应当遵循确保安全、市场运作、费用包干、自负盈亏的原则，自主决定轮换数量和频率。原粮在承储期内必须至少全部轮换一次；成品粮（油）必须在保质期到期之前每年至少全部轮换一次。每次轮换须提前5天向区粮食储备公司报备，并应当提供轮换出入库的质检报告，确保区级储备粮的实物库存量、等级和质量标准符合承储条件要求。</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采取自主轮换方式的区级储备粮实行最低实物库存管理，除紧急动用等特殊情况外，原粮任何时点实物库存不低于承储计划的75%，成品粮（油）任何时点实物库存不低于承储计划的90%。</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第十七条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粮食储备公司应当根据区级储备粮的品质情况、储存年限和相关管理要求，于每年10月底前提出区级储备粮下一年度轮换的数量、品种计划，报区发改部门，经区人民政府批准后，下达区粮食储备公司执行轮换计划。</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根据粮食宏观调控等需要，区人民政府可以对轮换计划进行调整。</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区粮食储备公司应当将区级储备粮收储计划、销售计划、轮换计划、调整计划的执行情况，及时报告区发改部门、区财政部门、</w:t>
      </w:r>
      <w:r>
        <w:rPr>
          <w:rFonts w:hint="eastAsia" w:ascii="方正仿宋_GBK" w:hAnsi="方正仿宋_GBK" w:eastAsia="方正仿宋_GBK" w:cs="方正仿宋_GBK"/>
          <w:color w:val="000000"/>
          <w:sz w:val="32"/>
          <w:szCs w:val="32"/>
          <w:lang w:eastAsia="zh-CN"/>
        </w:rPr>
        <w:t>惠阳</w:t>
      </w:r>
      <w:r>
        <w:rPr>
          <w:rFonts w:hint="eastAsia" w:ascii="方正仿宋_GBK" w:hAnsi="方正仿宋_GBK" w:eastAsia="方正仿宋_GBK" w:cs="方正仿宋_GBK"/>
          <w:color w:val="000000"/>
          <w:sz w:val="32"/>
          <w:szCs w:val="32"/>
        </w:rPr>
        <w:t>农发行。</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第十八条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的收储、销售、轮换主要通过规范的粮食交易市场及相关网上交易平台，采取公开竞价交易方式进行，也可以采取直接收购、邀标竞价销售等方式进行，并全程留痕备查，保存相关资料、凭证不少于6年。</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rightChars="0"/>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第三章 储 存</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第十九条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区级储备粮主要由区直国有粮食企业储存，也可委托具备条件的其他企业承储。</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第二十条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选择承储企业，应当遵循有利于全区粮食宏观调控和应急保障，有利于区级储备粮的布局优化和储存安全，有利于降低区级储备粮成本、费用的原则，由区粮食储备公司通过招标、综合评审等方式进行。</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承储企业应当具备以下条件：</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（一）依法设立，具有独立法人资格，且有从事粮食储备、粮食加工、粮食贸易等行业经验；</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（二）在规定的储存地，自有（租赁）仓容规模符合区级储备粮承储要求，仓库条件符合国家和省的标准和技术规范要求以及区级储备粮储存要求；</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（三）具有与粮食储存功能、仓型、进出粮方式、粮食品种、 储粮周期等相适应的仓储设备；</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（四）具有符合国家标准的粮食质量等级检测仪器和场所，具备检测区级储备粮储存期间仓库内温度、湿度、害虫密度的条 件；</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（五）配备经过专业培训、掌握相应知识和技能的仓储管理、质量检验等专业技术人员。</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经营管理、财务状况和信誉良好，3年内无不良信用记录、违法经营记录，以及粮油储存、生产安全责任事故，未发现擅自动用、以陈顶新、以次充好、掺杂使假、转圈粮等违反国家粮食流通政策法规的行为；</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（七）仓储管理和安全生产制度健全。</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承储企业确定后，报区发改部门备案并下达收储任务，区粮食储备公司与承储企业签订区级储备粮代储合同，明确双方权利、义务和违约责任等事项。</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第二十一条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承储企业储存区级储备粮，必须严格执行储备粮管理的有关法律、法规、规章、国家标准和技术规范，以及区级储备粮业务管理制度。完善区级储备粮运营管理制度，严格实行政府储备运营业务与企业商业经营业务分离，做到人员、实物、财务、账务管理“四分开”。</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第二十二条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承储企业应当建立、健全区级储备粮质量安全检验制度，严格执行粮食入库和出库检验制度，并在储存期间开展粮食质量管控，保证区级储备粮储存品质指标符合宜存标准，食品安全指标符合食品安全国家标准限量规定。</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区级储备粮销售出库作为食品或者用作食品生产的，承储企业应当依法履行食品安全职责，严禁不符合食品安全标准的粮食流入口粮市场和食品生产企业。</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承储企业应当建立区级储备粮质量安全档案，如实记录出入库、储存期间粮食质量安全情况。质量安全档案保存期限自粮食销售出库之日起不少于6年。</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第二十三条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区级储备粮中的原粮，应当区分不同的年份、品种、等级、权属和轮换方式，实行单独的仓房或者廒间专仓储存。</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区级储备粮中的成品粮，应当区分不同的权属和轮换方式，实行单独的仓房或者廒间专仓储存。</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第二十四条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承储企业储存区级储备粮，应当实行专人保管、专账记载，在专仓外显著位置悬挂或者喷涂标识，在专仓内配备信息卡。</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信息卡应当标明区级储备粮的品种、数量、质量、堆位、生产日期和入库日期等内容，并根据库存变化情况同步更新。</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第二十五条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承储企业应当建立、健全区级储备粮的防火、防盗、防洪和防风等安全管理制度，并配备必要的安全防护设施。</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第二十六条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承储企业应当加强区级储备粮储存期间的管理，发现区级储备粮有数量、质量、储存安全等方面的问题，应当及时有效处理，并报告区发改部门。</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 xml:space="preserve">第二十七条 </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承储企业应当加强粮库智能化建设，提高区级储备粮信息收集、处理、共享、存储、发布及粮情监测等技术水平，并按要求将数据和视频等接入省、市信息化管理平台，确保互联互通。</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第二十八条</w:t>
      </w:r>
      <w:r>
        <w:rPr>
          <w:rFonts w:hint="eastAsia" w:ascii="方正仿宋_GBK" w:hAnsi="方正仿宋_GBK" w:eastAsia="方正仿宋_GBK" w:cs="方正仿宋_GBK"/>
          <w:color w:val="000000"/>
          <w:sz w:val="32"/>
          <w:szCs w:val="32"/>
        </w:rPr>
        <w:t xml:space="preserve">  承储企业应当严格执行区级储备粮承储计划，确保区级储备粮数量、质量、品种、地点“四落实”。未经区人民政府书面批准同意，不得擅自动用区级储备粮，不得擅自调整质量等级，不得擅自串换品种。</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第二十九条</w:t>
      </w:r>
      <w:r>
        <w:rPr>
          <w:rFonts w:hint="eastAsia" w:ascii="方正仿宋_GBK" w:hAnsi="方正仿宋_GBK" w:eastAsia="方正仿宋_GBK" w:cs="方正仿宋_GBK"/>
          <w:color w:val="000000"/>
          <w:sz w:val="32"/>
          <w:szCs w:val="32"/>
        </w:rPr>
        <w:t xml:space="preserve">  承储企业应当保持同一库区内区级储备粮的堆位、质量等级的相对稳定。承储企业如需调整区级储备粮质量等级、串换区级储备粮品种，应当提前1个月向区发改部门申报，由区发改部门报区人民政府批准。</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rightChars="0"/>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第四章</w:t>
      </w:r>
      <w:r>
        <w:rPr>
          <w:rFonts w:hint="eastAsia" w:ascii="方正黑体_GBK" w:hAnsi="方正黑体_GBK" w:eastAsia="方正黑体_GBK" w:cs="方正黑体_GBK"/>
          <w:color w:val="000000"/>
          <w:sz w:val="32"/>
          <w:szCs w:val="32"/>
        </w:rPr>
        <w:tab/>
      </w:r>
      <w:r>
        <w:rPr>
          <w:rFonts w:hint="eastAsia" w:ascii="方正黑体_GBK" w:hAnsi="方正黑体_GBK" w:eastAsia="方正黑体_GBK" w:cs="方正黑体_GBK"/>
          <w:color w:val="000000"/>
          <w:sz w:val="32"/>
          <w:szCs w:val="32"/>
        </w:rPr>
        <w:t>动用</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第三十条</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 xml:space="preserve"> </w:t>
      </w:r>
      <w:r>
        <w:rPr>
          <w:rFonts w:hint="eastAsia" w:ascii="方正仿宋_GBK" w:hAnsi="方正仿宋_GBK" w:eastAsia="方正仿宋_GBK" w:cs="方正仿宋_GBK"/>
          <w:color w:val="000000"/>
          <w:sz w:val="32"/>
          <w:szCs w:val="32"/>
        </w:rPr>
        <w:t>出现下列情况之一的，可以动用区级储备粮：</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（一）发生重大及以上突发事件；</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（二）区人民政府认为需要动用区级储备粮的其他情形。</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第三十一条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区发改部门应当完善监测预警机制，加强对需要动用区级储备粮情况的监测，适时提出动用区级储备粮的建议。</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承储企业应当建立、健全区级储备粮应急动用预案，并加强演练，确保区级储备粮高效动用。</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第三十二条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动用区级储备粮，由区发改部门提出动用方案，报区人民政府批准。动用方案应当包括动用区级储备粮的品种、数量、质量、价格、使用安排、运输保障等内容。</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第三十三条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区发改部门根据区人民政府批准的区级储备粮动用方案下达动用命令，由承储企业具体组织实施。区级储备粮被动用后，应当在</w:t>
      </w: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rPr>
        <w:t>个月内完成等量补库。动用期间，利费补贴仍按储存数量通过区级粮食风险基金进行补贴。</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紧急情况下，区人民政府可直接决定动用区级储备粮并向承储企业下达动用命令。</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区人民政府有关部门和有关镇（街）人民政府及其部门对区级储备粮动用命令的实施，应当给予支持、配合。</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rightChars="0"/>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第五章　财务与统计</w:t>
      </w:r>
    </w:p>
    <w:p>
      <w:pPr>
        <w:snapToGrid w:val="0"/>
        <w:spacing w:before="0" w:after="0" w:line="580" w:lineRule="exact"/>
        <w:ind w:rightChars="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w:t>
      </w:r>
      <w:r>
        <w:rPr>
          <w:rFonts w:hint="eastAsia" w:ascii="方正黑体_GBK" w:hAnsi="方正黑体_GBK" w:eastAsia="方正黑体_GBK" w:cs="方正黑体_GBK"/>
          <w:b w:val="0"/>
          <w:bCs w:val="0"/>
          <w:color w:val="000000"/>
          <w:sz w:val="32"/>
          <w:szCs w:val="32"/>
        </w:rPr>
        <w:t>第三十四条</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区级储备粮补贴费用包括贷款利息、保管费用、轮换差价补贴、储存期间合理损耗损失费、质量检测费、评估费、交易手续费、保险费、紧急动用区级储备粮费用等，由区财政部门纳入本级财政预算足额安排，在区级粮食风险基金中列支，区级粮食风险基金不足部分，列入区级财政解决。</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（一）贷款利息：指按核定的收储价格所需的收储资金与同期银行贷款利率计算的利息。</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（二）保管费用：实行定额补贴，按储存数量与区政府批准的补贴标准拨补。</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（三）轮换差价补贴：采取财政兜底或者定额包干等方式。区级储备粮采取静态轮换方式的，轮换差价补贴实行财政兜底；区级储备粮采取自主轮换方式的，轮换差价补贴实行定额包干。</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储存期间合理损耗损失费：区级储备粮储存期间的合理损耗损失包括在库粮食安全水分自然减量、千分之二以内的保管自然损耗以及不可抗力因素造成的损失。由区粮食储备公司上报区发改部门，经区发改部门、区财政部门核实后据实拨补。</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（五）质量检测费：区发改部门委托的质量检测和区粮食储备公司质量检测费用。由区发改部门核实后</w:t>
      </w:r>
      <w:r>
        <w:rPr>
          <w:rFonts w:hint="eastAsia" w:ascii="方正仿宋_GBK" w:hAnsi="方正仿宋_GBK" w:eastAsia="方正仿宋_GBK" w:cs="方正仿宋_GBK"/>
          <w:color w:val="000000"/>
          <w:sz w:val="32"/>
          <w:szCs w:val="32"/>
          <w:lang w:eastAsia="zh-CN"/>
        </w:rPr>
        <w:t>，向区财政部门申请拨付资金</w:t>
      </w:r>
      <w:r>
        <w:rPr>
          <w:rFonts w:hint="eastAsia" w:ascii="方正仿宋_GBK" w:hAnsi="方正仿宋_GBK" w:eastAsia="方正仿宋_GBK" w:cs="方正仿宋_GBK"/>
          <w:color w:val="000000"/>
          <w:sz w:val="32"/>
          <w:szCs w:val="32"/>
        </w:rPr>
        <w:t>。</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（六）评估费：区发改部门根据区人民政府批准区级储备粮轮换规模价格评估服务费。由区发改部门、区财政部门核实后据实拨补。</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（七）交易手续费：区级储备粮采取静态轮换，收储、销售通过粮食交易市场所产生费用。由区发改部门、区财政部门核实后据实拨补。</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（八）保险费：区级储备粮（不包括成品粮）购买商业保险所产生费用。由区发改部门、区财政部门核实后据实拨补。</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（九）紧急动用区级储备粮费用：区级储备粮动用发生的轮换差价以及动用发生的合理费用。经区发改部门审核，报区人民政府批准后，由区财政部门给予足额拨补，盈利上缴区财政部门。</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第三十五条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区级储备粮利费补贴标准、补贴方式</w:t>
      </w:r>
      <w:r>
        <w:rPr>
          <w:rFonts w:hint="eastAsia" w:ascii="方正仿宋_GBK" w:hAnsi="方正仿宋_GBK" w:eastAsia="方正仿宋_GBK" w:cs="方正仿宋_GBK"/>
          <w:color w:val="000000"/>
          <w:sz w:val="32"/>
          <w:szCs w:val="32"/>
          <w:lang w:val="en-US" w:eastAsia="zh-CN"/>
        </w:rPr>
        <w:t>实施动态调整机制</w:t>
      </w:r>
      <w:r>
        <w:rPr>
          <w:rFonts w:hint="eastAsia" w:ascii="方正仿宋_GBK" w:hAnsi="方正仿宋_GBK" w:eastAsia="方正仿宋_GBK" w:cs="方正仿宋_GBK"/>
          <w:color w:val="000000"/>
          <w:sz w:val="32"/>
          <w:szCs w:val="32"/>
        </w:rPr>
        <w:t>，根据粮食市场行情、物价指数及本地费用成本水平等因素，</w:t>
      </w:r>
      <w:r>
        <w:rPr>
          <w:rFonts w:hint="eastAsia" w:ascii="方正仿宋_GBK" w:hAnsi="方正仿宋_GBK" w:eastAsia="方正仿宋_GBK" w:cs="方正仿宋_GBK"/>
          <w:color w:val="000000"/>
          <w:sz w:val="32"/>
          <w:szCs w:val="32"/>
          <w:lang w:val="en-US" w:eastAsia="zh-CN"/>
        </w:rPr>
        <w:t>经有资质第三方机构评估和成本鉴审后，</w:t>
      </w:r>
      <w:r>
        <w:rPr>
          <w:rFonts w:hint="eastAsia" w:ascii="方正仿宋_GBK" w:hAnsi="方正仿宋_GBK" w:eastAsia="方正仿宋_GBK" w:cs="方正仿宋_GBK"/>
          <w:color w:val="000000"/>
          <w:sz w:val="32"/>
          <w:szCs w:val="32"/>
        </w:rPr>
        <w:t>由区发改部门商区财政部门提出</w:t>
      </w:r>
      <w:r>
        <w:rPr>
          <w:rFonts w:hint="eastAsia" w:ascii="方正仿宋_GBK" w:hAnsi="方正仿宋_GBK" w:eastAsia="方正仿宋_GBK" w:cs="方正仿宋_GBK"/>
          <w:color w:val="000000"/>
          <w:sz w:val="32"/>
          <w:szCs w:val="32"/>
          <w:lang w:val="en-US" w:eastAsia="zh-CN"/>
        </w:rPr>
        <w:t>调整方案</w:t>
      </w:r>
      <w:r>
        <w:rPr>
          <w:rFonts w:hint="eastAsia" w:ascii="方正仿宋_GBK" w:hAnsi="方正仿宋_GBK" w:eastAsia="方正仿宋_GBK" w:cs="方正仿宋_GBK"/>
          <w:color w:val="000000"/>
          <w:sz w:val="32"/>
          <w:szCs w:val="32"/>
        </w:rPr>
        <w:t>，报区人民政府批准实施。</w:t>
      </w:r>
    </w:p>
    <w:p>
      <w:pPr>
        <w:snapToGrid w:val="0"/>
        <w:spacing w:before="0" w:after="0" w:line="580" w:lineRule="exact"/>
        <w:ind w:rightChars="0" w:firstLine="64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第三十六条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财政补贴实行季度拨付的支付方式。采取先预拨后结算的方式，实际补贴资金年度内清算拨付。</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区粮食储备公司汇总区级储备粮利费补贴预拨、结算资金资料后，报经区发改部门审核，由区发改部门报区财政部门申请拨付资金。</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任何单位和个人不得以任何方式骗取、挤占、截留、挪用区级储备粮贷款或者利费补贴等。</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第三十七条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为确保区级储备粮数量真实、质量良好、储存安全和有效监管，区财政部门每年预算安排区级储备粮监管专项经费，用于监督检查开支；每年预算安排仓储设施维修专项资金，用于区级储备粮仓储设施的正常维护。</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第三十八条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区级储备粮贷款实行贷款与粮食库存值增减挂钩、专户专款专用的封闭运行管理。惠阳发行按区人民政府批准储备粮入库基准价据实发放贷款。</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第三十九条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建立区级储备粮损失、损耗处理制度，及时处理所发生的损失、损耗。区级储备粮损失、损耗处理的具体办法，由区发改部门商区财政部门共同制定。</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第四十条</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承储企业应当建立健全区级储备粮台账制度，定期统计</w:t>
      </w:r>
      <w:r>
        <w:rPr>
          <w:rFonts w:hint="eastAsia" w:ascii="方正仿宋_GBK" w:hAnsi="方正仿宋_GBK" w:eastAsia="方正仿宋_GBK" w:cs="方正仿宋_GBK"/>
          <w:color w:val="000000"/>
          <w:sz w:val="32"/>
          <w:szCs w:val="32"/>
          <w:lang w:eastAsia="zh-CN"/>
        </w:rPr>
        <w:t>、分析</w:t>
      </w:r>
      <w:r>
        <w:rPr>
          <w:rFonts w:hint="eastAsia" w:ascii="方正仿宋_GBK" w:hAnsi="方正仿宋_GBK" w:eastAsia="方正仿宋_GBK" w:cs="方正仿宋_GBK"/>
          <w:color w:val="000000"/>
          <w:sz w:val="32"/>
          <w:szCs w:val="32"/>
        </w:rPr>
        <w:t>区级储备粮的管理情况，并将统计</w:t>
      </w:r>
      <w:r>
        <w:rPr>
          <w:rFonts w:hint="eastAsia" w:ascii="方正仿宋_GBK" w:hAnsi="方正仿宋_GBK" w:eastAsia="方正仿宋_GBK" w:cs="方正仿宋_GBK"/>
          <w:color w:val="000000"/>
          <w:sz w:val="32"/>
          <w:szCs w:val="32"/>
          <w:lang w:eastAsia="zh-CN"/>
        </w:rPr>
        <w:t>、分析</w:t>
      </w:r>
      <w:r>
        <w:rPr>
          <w:rFonts w:hint="eastAsia" w:ascii="方正仿宋_GBK" w:hAnsi="方正仿宋_GBK" w:eastAsia="方正仿宋_GBK" w:cs="方正仿宋_GBK"/>
          <w:color w:val="000000"/>
          <w:sz w:val="32"/>
          <w:szCs w:val="32"/>
        </w:rPr>
        <w:t>情况报送区发改部门。</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rightChars="0"/>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第六章  退出管理</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第四十一条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承储企业在承储合同期内提前减储或退储区级储备粮的，应提前2个月向区粮食储备公司提出书面申请，区粮食储备公司应将回复意见报区发改部门、区财政部门、惠阳农发行。</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第四十二条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同意减储或退储区级储备粮的，承储企业须与区粮食储备公司办理承储合同终止手续，储备粮费用补贴相应终止，相应的承储计划同时收回，其退储的区级储备粮按承储合同和相关规定处置。</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第四十三条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承储企业在解除或终止合同前，应当按要求完成区级储备粮轮换工作。解除或终止合同时，应当确保储存的区级储备粮数量真实、质量良好。</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rightChars="0"/>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第七章　监督检查</w:t>
      </w:r>
    </w:p>
    <w:p>
      <w:pPr>
        <w:snapToGrid w:val="0"/>
        <w:spacing w:before="0" w:after="0" w:line="580" w:lineRule="exact"/>
        <w:ind w:rightChars="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w:t>
      </w:r>
      <w:r>
        <w:rPr>
          <w:rFonts w:hint="eastAsia" w:ascii="方正黑体_GBK" w:hAnsi="方正黑体_GBK" w:eastAsia="方正黑体_GBK" w:cs="方正黑体_GBK"/>
          <w:b w:val="0"/>
          <w:bCs w:val="0"/>
          <w:color w:val="000000"/>
          <w:sz w:val="32"/>
          <w:szCs w:val="32"/>
        </w:rPr>
        <w:t>第四十四条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区发改部门依照管理职责，依法依规对承储企业进行监督检查，严格对自主轮换承储企业的事前信用调查、事中监管、事后惩戒。发现区级储备粮数量、质量、储存安全等方面存在问题的，应当责成立即予以纠正或者处理；发现不再具备承储条件的，应当取消相应的区级储备粮承储任务。超出本部门处理职权范围的事项，应当及时移交具有相应处理职权的部门进行处理。</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bCs/>
          <w:color w:val="000000"/>
          <w:sz w:val="32"/>
          <w:szCs w:val="32"/>
        </w:rPr>
        <w:t>第四十五条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区人民政府审计机关（以下简称“区审计机关”）依法对区级储备粮政策措施落实情况及相关资金筹集分配管理使用等情况实施审计监督。</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第四十六条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承储企业对区发改部门、区财政部门和区审计机关的监督检查人员依法履行职责，应当给予配合。任何单位和个人不得拒绝、阻挠、干涉区发改部门、区财政部门和区审计机关的监督检查人员依法履行监督检查职责。</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第四十七条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惠阳农发行应当按照资金封闭管理规定，加强对其发放的区级储备粮贷款实施信贷监管，定期进行库贷核查。承储企业应当给予配合，并及时提供有关资料和情况。</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第四十八条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承储企业应当加强对区级储备粮的日常管理，对自查发现的问题，应当及时予以纠正或处理，并报告区发改部门、区财政部门和惠阳农发行。</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rightChars="0"/>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第八章　法律责任</w:t>
      </w:r>
    </w:p>
    <w:p>
      <w:pPr>
        <w:snapToGrid w:val="0"/>
        <w:spacing w:before="0" w:after="0" w:line="580" w:lineRule="exact"/>
        <w:ind w:rightChars="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w:t>
      </w:r>
      <w:r>
        <w:rPr>
          <w:rFonts w:hint="eastAsia" w:ascii="方正黑体_GBK" w:hAnsi="方正黑体_GBK" w:eastAsia="方正黑体_GBK" w:cs="方正黑体_GBK"/>
          <w:color w:val="000000"/>
          <w:sz w:val="32"/>
          <w:szCs w:val="32"/>
        </w:rPr>
        <w:t>　</w:t>
      </w:r>
      <w:r>
        <w:rPr>
          <w:rFonts w:hint="eastAsia" w:ascii="方正黑体_GBK" w:hAnsi="方正黑体_GBK" w:eastAsia="方正黑体_GBK" w:cs="方正黑体_GBK"/>
          <w:b w:val="0"/>
          <w:bCs w:val="0"/>
          <w:color w:val="000000"/>
          <w:sz w:val="32"/>
          <w:szCs w:val="32"/>
        </w:rPr>
        <w:t>第四十九条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发改部门、区财政部门和惠阳农发行违反本办法规定，未依法履行区级储备粮管理和监督职责的，对直接负责的主管人员和其他直接责任人员依照《中华人民共和国公务员法》等法律、法规和规章的规定给予处理；构成犯罪的，依法追究刑事责任。</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第五十条</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违反本办法第四十六条规定，拒绝、阻挠或者干涉区发改部门、区财政部门和区审计机关的监督检查人员依法履行监督检查职责的，由区发改部门责令改正；对直接负责的主管人员和其他直接责任人员，依照《中华人民共和国治安管理处罚法》等法律、法规和规章的规定给予处理；构成犯罪的，依法追究刑事责任。</w:t>
      </w:r>
    </w:p>
    <w:p>
      <w:pPr>
        <w:snapToGrid w:val="0"/>
        <w:spacing w:before="0" w:after="0" w:line="240" w:lineRule="auto"/>
        <w:ind w:firstLine="640" w:firstLineChars="200"/>
        <w:jc w:val="left"/>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第五十一条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违反本办法规定的其他行为，由有关机关依照《粮食流通管理条例》《广东省粮食安全保障条例》《广东省省级储备粮管理办法》等法律、法规和规章的规定给予处理；构成犯罪的，依法追究刑事责任。</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ind w:rightChars="0"/>
        <w:jc w:val="center"/>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第九章　附　则</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第五十二条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承储企业应当按照规定承担相应社会责任储备，并执行特定情况下粮食库存量规定。</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承储企业的社会责任储备及特定情况下粮食库存量，与其承担的区级储备粮任务不重复计算。</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第五十三条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区级储备粮的计划、收储、销售、轮换及相关监督管理，参照本办法执行。</w:t>
      </w:r>
    </w:p>
    <w:p>
      <w:pPr>
        <w:snapToGrid w:val="0"/>
        <w:spacing w:before="0" w:after="0" w:line="580" w:lineRule="exact"/>
        <w:ind w:rightChars="0" w:firstLineChars="200"/>
        <w:jc w:val="both"/>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rPr>
        <w:t>第五十四条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本办法自2022年   月    日起实施，有效期5年。《惠州市惠阳区区级储备粮管理办法》（惠阳府办</w:t>
      </w:r>
      <w:r>
        <w:rPr>
          <w:rFonts w:hint="eastAsia" w:ascii="方正仿宋_GBK" w:hAnsi="方正仿宋_GBK" w:eastAsia="方正仿宋_GBK" w:cs="方正仿宋_GBK"/>
          <w:color w:val="000000"/>
          <w:sz w:val="32"/>
          <w:szCs w:val="32"/>
        </w:rPr>
        <w:t>﹝2020</w:t>
      </w:r>
      <w:r>
        <w:rPr>
          <w:rFonts w:hint="eastAsia" w:ascii="方正仿宋_GBK" w:hAnsi="方正仿宋_GBK" w:eastAsia="方正仿宋_GBK" w:cs="方正仿宋_GBK"/>
          <w:color w:val="000000"/>
          <w:sz w:val="32"/>
          <w:szCs w:val="32"/>
        </w:rPr>
        <w:t>﹞12号）同时废止。</w:t>
      </w:r>
    </w:p>
    <w:p>
      <w:pPr>
        <w:snapToGrid w:val="0"/>
        <w:spacing w:before="0" w:after="0" w:line="580" w:lineRule="exact"/>
        <w:ind w:rightChars="0" w:firstLineChars="200"/>
        <w:jc w:val="both"/>
        <w:rPr>
          <w:rFonts w:ascii="仿宋" w:hAnsi="仿宋" w:eastAsia="仿宋"/>
          <w:color w:val="000000"/>
          <w:sz w:val="32"/>
          <w:szCs w:val="32"/>
        </w:rPr>
      </w:pPr>
      <w:bookmarkStart w:id="0" w:name="_GoBack"/>
      <w:bookmarkEnd w:id="0"/>
    </w:p>
    <w:sectPr>
      <w:headerReference r:id="rId3" w:type="default"/>
      <w:footerReference r:id="rId4" w:type="default"/>
      <w:pgSz w:w="11906" w:h="16838"/>
      <w:pgMar w:top="2154" w:right="1474" w:bottom="204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0" w:after="0" w:line="240" w:lineRule="auto"/>
      <w:jc w:val="left"/>
      <w:rPr>
        <w:rFonts w:ascii="宋体" w:hAnsi="宋体" w:eastAsia="宋体"/>
        <w:color w:val="00000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0A3F5713"/>
    <w:rsid w:val="105E3B74"/>
    <w:rsid w:val="10DF64C1"/>
    <w:rsid w:val="158D715B"/>
    <w:rsid w:val="1C2C4424"/>
    <w:rsid w:val="1CD54CE6"/>
    <w:rsid w:val="1DEC38DC"/>
    <w:rsid w:val="2C0F349B"/>
    <w:rsid w:val="30456175"/>
    <w:rsid w:val="36772279"/>
    <w:rsid w:val="434067C1"/>
    <w:rsid w:val="4C8421F1"/>
    <w:rsid w:val="56053259"/>
    <w:rsid w:val="568D20C3"/>
    <w:rsid w:val="61633A3C"/>
    <w:rsid w:val="62DC1B18"/>
    <w:rsid w:val="6A6A7228"/>
    <w:rsid w:val="6B8A78FF"/>
    <w:rsid w:val="6EAF13B0"/>
    <w:rsid w:val="71061E72"/>
    <w:rsid w:val="79885FB1"/>
    <w:rsid w:val="7A3B2499"/>
    <w:rsid w:val="7C8B2C67"/>
    <w:rsid w:val="7D936F7E"/>
    <w:rsid w:val="7E28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TotalTime>19</TotalTime>
  <ScaleCrop>false</ScaleCrop>
  <LinksUpToDate>false</LinksUpToDate>
  <CharactersWithSpaces>123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赖静…</cp:lastModifiedBy>
  <cp:lastPrinted>2022-04-19T03:06:37Z</cp:lastPrinted>
  <dcterms:modified xsi:type="dcterms:W3CDTF">2022-04-19T03:06:41Z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14122E0199AF4E629582EBC776E96565</vt:lpwstr>
  </property>
</Properties>
</file>