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华文中宋" w:eastAsia="华文中宋"/>
          <w:sz w:val="28"/>
        </w:rPr>
      </w:pPr>
      <w:r>
        <w:rPr>
          <w:rFonts w:hint="eastAsia" w:ascii="华文中宋" w:eastAsia="华文中宋"/>
          <w:sz w:val="28"/>
        </w:rPr>
        <w:t>【征求意见稿】</w:t>
      </w:r>
    </w:p>
    <w:p>
      <w:pPr>
        <w:jc w:val="right"/>
        <w:rPr>
          <w:rFonts w:hint="eastAsia" w:ascii="华文中宋" w:eastAsia="华文中宋"/>
          <w:sz w:val="28"/>
        </w:rPr>
      </w:pPr>
    </w:p>
    <w:p>
      <w:pPr>
        <w:jc w:val="center"/>
        <w:rPr>
          <w:rFonts w:asciiTheme="majorEastAsia" w:hAnsiTheme="majorEastAsia" w:eastAsiaTheme="majorEastAsia"/>
          <w:b/>
          <w:sz w:val="52"/>
          <w:szCs w:val="52"/>
        </w:rPr>
      </w:pPr>
      <w:r>
        <w:rPr>
          <w:rFonts w:hint="eastAsia" w:asciiTheme="majorEastAsia" w:hAnsiTheme="majorEastAsia" w:eastAsiaTheme="majorEastAsia"/>
          <w:b/>
          <w:sz w:val="52"/>
          <w:szCs w:val="52"/>
        </w:rPr>
        <w:t>惠州市惠阳区</w:t>
      </w:r>
      <w:r>
        <w:rPr>
          <w:rFonts w:hint="eastAsia" w:asciiTheme="majorEastAsia" w:hAnsiTheme="majorEastAsia" w:eastAsiaTheme="majorEastAsia"/>
          <w:b/>
          <w:sz w:val="52"/>
          <w:szCs w:val="52"/>
          <w:lang w:val="en-US" w:eastAsia="zh-CN"/>
        </w:rPr>
        <w:t>国有</w:t>
      </w:r>
      <w:r>
        <w:rPr>
          <w:rFonts w:hint="eastAsia" w:asciiTheme="majorEastAsia" w:hAnsiTheme="majorEastAsia" w:eastAsiaTheme="majorEastAsia"/>
          <w:b/>
          <w:sz w:val="52"/>
          <w:szCs w:val="52"/>
        </w:rPr>
        <w:t>农用地</w:t>
      </w:r>
      <w:r>
        <w:rPr>
          <w:rFonts w:hint="eastAsia" w:asciiTheme="majorEastAsia" w:hAnsiTheme="majorEastAsia" w:eastAsiaTheme="majorEastAsia"/>
          <w:b/>
          <w:sz w:val="52"/>
          <w:szCs w:val="52"/>
          <w:lang w:val="en-US" w:eastAsia="zh-CN"/>
        </w:rPr>
        <w:t>土地</w:t>
      </w:r>
      <w:bookmarkStart w:id="16" w:name="_GoBack"/>
      <w:bookmarkEnd w:id="16"/>
      <w:r>
        <w:rPr>
          <w:rFonts w:hint="eastAsia" w:asciiTheme="majorEastAsia" w:hAnsiTheme="majorEastAsia" w:eastAsiaTheme="majorEastAsia"/>
          <w:b/>
          <w:sz w:val="52"/>
          <w:szCs w:val="52"/>
        </w:rPr>
        <w:t>定级与基准地价</w:t>
      </w:r>
      <w:r>
        <w:rPr>
          <w:rFonts w:hint="eastAsia" w:asciiTheme="majorEastAsia" w:hAnsiTheme="majorEastAsia" w:eastAsiaTheme="majorEastAsia"/>
          <w:b/>
          <w:sz w:val="52"/>
          <w:szCs w:val="52"/>
          <w:lang w:val="en-US" w:eastAsia="zh-CN"/>
        </w:rPr>
        <w:t>更新</w:t>
      </w:r>
      <w:r>
        <w:rPr>
          <w:rFonts w:hint="eastAsia" w:asciiTheme="majorEastAsia" w:hAnsiTheme="majorEastAsia" w:eastAsiaTheme="majorEastAsia"/>
          <w:b/>
          <w:sz w:val="52"/>
          <w:szCs w:val="52"/>
        </w:rPr>
        <w:t>（202</w:t>
      </w:r>
      <w:r>
        <w:rPr>
          <w:rFonts w:hint="eastAsia" w:asciiTheme="majorEastAsia" w:hAnsiTheme="majorEastAsia" w:eastAsiaTheme="majorEastAsia"/>
          <w:b/>
          <w:sz w:val="52"/>
          <w:szCs w:val="52"/>
          <w:lang w:val="en-US" w:eastAsia="zh-CN"/>
        </w:rPr>
        <w:t>2</w:t>
      </w:r>
      <w:r>
        <w:rPr>
          <w:rFonts w:hint="eastAsia" w:asciiTheme="majorEastAsia" w:hAnsiTheme="majorEastAsia" w:eastAsiaTheme="majorEastAsia"/>
          <w:b/>
          <w:sz w:val="52"/>
          <w:szCs w:val="52"/>
        </w:rPr>
        <w:t>年版）</w:t>
      </w:r>
    </w:p>
    <w:p>
      <w:pPr>
        <w:jc w:val="center"/>
        <w:rPr>
          <w:rFonts w:asciiTheme="majorEastAsia" w:hAnsiTheme="majorEastAsia" w:eastAsiaTheme="majorEastAsia"/>
          <w:b/>
          <w:sz w:val="52"/>
          <w:szCs w:val="52"/>
        </w:rPr>
      </w:pPr>
    </w:p>
    <w:p>
      <w:pPr>
        <w:jc w:val="center"/>
        <w:rPr>
          <w:rFonts w:asciiTheme="majorEastAsia" w:hAnsiTheme="majorEastAsia" w:eastAsiaTheme="majorEastAsia"/>
          <w:b/>
          <w:sz w:val="52"/>
          <w:szCs w:val="52"/>
        </w:rPr>
      </w:pPr>
    </w:p>
    <w:p>
      <w:pPr>
        <w:jc w:val="center"/>
        <w:rPr>
          <w:rFonts w:asciiTheme="majorEastAsia" w:hAnsiTheme="majorEastAsia" w:eastAsiaTheme="majorEastAsia"/>
          <w:b/>
          <w:sz w:val="52"/>
          <w:szCs w:val="52"/>
        </w:rPr>
      </w:pPr>
      <w:r>
        <w:rPr>
          <w:rFonts w:hint="eastAsia" w:asciiTheme="majorEastAsia" w:hAnsiTheme="majorEastAsia" w:eastAsiaTheme="majorEastAsia"/>
          <w:b/>
          <w:sz w:val="52"/>
          <w:szCs w:val="52"/>
        </w:rPr>
        <w:t>成</w:t>
      </w:r>
    </w:p>
    <w:p>
      <w:pPr>
        <w:jc w:val="center"/>
        <w:rPr>
          <w:rFonts w:asciiTheme="majorEastAsia" w:hAnsiTheme="majorEastAsia" w:eastAsiaTheme="majorEastAsia"/>
          <w:b/>
          <w:sz w:val="52"/>
          <w:szCs w:val="52"/>
        </w:rPr>
      </w:pPr>
    </w:p>
    <w:p>
      <w:pPr>
        <w:jc w:val="center"/>
        <w:rPr>
          <w:rFonts w:asciiTheme="majorEastAsia" w:hAnsiTheme="majorEastAsia" w:eastAsiaTheme="majorEastAsia"/>
          <w:b/>
          <w:sz w:val="52"/>
          <w:szCs w:val="52"/>
        </w:rPr>
      </w:pPr>
    </w:p>
    <w:p>
      <w:pPr>
        <w:jc w:val="center"/>
        <w:rPr>
          <w:rFonts w:asciiTheme="majorEastAsia" w:hAnsiTheme="majorEastAsia" w:eastAsiaTheme="majorEastAsia"/>
          <w:b/>
          <w:sz w:val="52"/>
          <w:szCs w:val="52"/>
        </w:rPr>
      </w:pPr>
      <w:r>
        <w:rPr>
          <w:rFonts w:hint="eastAsia" w:asciiTheme="majorEastAsia" w:hAnsiTheme="majorEastAsia" w:eastAsiaTheme="majorEastAsia"/>
          <w:b/>
          <w:sz w:val="52"/>
          <w:szCs w:val="52"/>
        </w:rPr>
        <w:t>果</w:t>
      </w:r>
    </w:p>
    <w:p>
      <w:pPr>
        <w:jc w:val="center"/>
        <w:rPr>
          <w:rFonts w:asciiTheme="majorEastAsia" w:hAnsiTheme="majorEastAsia" w:eastAsiaTheme="majorEastAsia"/>
          <w:b/>
          <w:sz w:val="52"/>
          <w:szCs w:val="52"/>
        </w:rPr>
      </w:pPr>
    </w:p>
    <w:p>
      <w:pPr>
        <w:jc w:val="center"/>
        <w:rPr>
          <w:rFonts w:asciiTheme="majorEastAsia" w:hAnsiTheme="majorEastAsia" w:eastAsiaTheme="majorEastAsia"/>
          <w:b/>
          <w:sz w:val="52"/>
          <w:szCs w:val="52"/>
        </w:rPr>
      </w:pPr>
    </w:p>
    <w:p>
      <w:pPr>
        <w:jc w:val="center"/>
        <w:rPr>
          <w:rFonts w:hint="default" w:asciiTheme="majorEastAsia" w:hAnsiTheme="majorEastAsia" w:eastAsiaTheme="majorEastAsia"/>
          <w:b/>
          <w:sz w:val="52"/>
          <w:szCs w:val="52"/>
          <w:lang w:val="en-US" w:eastAsia="zh-CN"/>
        </w:rPr>
      </w:pPr>
      <w:r>
        <w:rPr>
          <w:rFonts w:hint="eastAsia" w:asciiTheme="majorEastAsia" w:hAnsiTheme="majorEastAsia" w:eastAsiaTheme="majorEastAsia"/>
          <w:b/>
          <w:sz w:val="52"/>
          <w:szCs w:val="52"/>
          <w:lang w:val="en-US" w:eastAsia="zh-CN"/>
        </w:rPr>
        <w:t>报</w:t>
      </w:r>
    </w:p>
    <w:p>
      <w:pPr>
        <w:jc w:val="center"/>
        <w:rPr>
          <w:rFonts w:asciiTheme="majorEastAsia" w:hAnsiTheme="majorEastAsia" w:eastAsiaTheme="majorEastAsia"/>
          <w:b/>
          <w:sz w:val="52"/>
          <w:szCs w:val="52"/>
        </w:rPr>
      </w:pPr>
    </w:p>
    <w:p>
      <w:pPr>
        <w:jc w:val="center"/>
        <w:rPr>
          <w:rFonts w:asciiTheme="majorEastAsia" w:hAnsiTheme="majorEastAsia" w:eastAsiaTheme="majorEastAsia"/>
          <w:b/>
          <w:sz w:val="52"/>
          <w:szCs w:val="52"/>
        </w:rPr>
      </w:pPr>
    </w:p>
    <w:p>
      <w:pPr>
        <w:jc w:val="center"/>
        <w:rPr>
          <w:rFonts w:asciiTheme="majorEastAsia" w:hAnsiTheme="majorEastAsia" w:eastAsiaTheme="majorEastAsia"/>
          <w:b/>
          <w:sz w:val="52"/>
          <w:szCs w:val="52"/>
        </w:rPr>
      </w:pPr>
      <w:r>
        <w:rPr>
          <w:rFonts w:hint="eastAsia" w:asciiTheme="majorEastAsia" w:hAnsiTheme="majorEastAsia" w:eastAsiaTheme="majorEastAsia"/>
          <w:b/>
          <w:sz w:val="52"/>
          <w:szCs w:val="52"/>
          <w:lang w:val="en-US" w:eastAsia="zh-CN"/>
        </w:rPr>
        <w:t>告</w:t>
      </w:r>
    </w:p>
    <w:p>
      <w:pPr>
        <w:rPr>
          <w:rFonts w:asciiTheme="majorEastAsia" w:hAnsiTheme="majorEastAsia" w:eastAsiaTheme="majorEastAsia"/>
          <w:b/>
          <w:sz w:val="52"/>
          <w:szCs w:val="52"/>
        </w:rPr>
      </w:pPr>
    </w:p>
    <w:p>
      <w:pPr>
        <w:rPr>
          <w:rFonts w:asciiTheme="majorEastAsia" w:hAnsiTheme="majorEastAsia" w:eastAsiaTheme="majorEastAsia"/>
          <w:b/>
          <w:sz w:val="52"/>
          <w:szCs w:val="52"/>
        </w:rPr>
      </w:pPr>
    </w:p>
    <w:p>
      <w:pPr>
        <w:rPr>
          <w:rFonts w:asciiTheme="majorEastAsia" w:hAnsiTheme="majorEastAsia" w:eastAsiaTheme="majorEastAsia"/>
          <w:b/>
          <w:sz w:val="52"/>
          <w:szCs w:val="52"/>
        </w:rPr>
      </w:pP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惠</w:t>
      </w:r>
      <w:r>
        <w:rPr>
          <w:rFonts w:asciiTheme="majorEastAsia" w:hAnsiTheme="majorEastAsia" w:eastAsiaTheme="majorEastAsia"/>
          <w:b/>
          <w:sz w:val="32"/>
          <w:szCs w:val="32"/>
        </w:rPr>
        <w:t>州市惠阳区自然资</w:t>
      </w:r>
      <w:r>
        <w:rPr>
          <w:rFonts w:hint="eastAsia" w:asciiTheme="majorEastAsia" w:hAnsiTheme="majorEastAsia" w:eastAsiaTheme="majorEastAsia"/>
          <w:b/>
          <w:sz w:val="32"/>
          <w:szCs w:val="32"/>
        </w:rPr>
        <w:t>源</w:t>
      </w:r>
      <w:r>
        <w:rPr>
          <w:rFonts w:asciiTheme="majorEastAsia" w:hAnsiTheme="majorEastAsia" w:eastAsiaTheme="majorEastAsia"/>
          <w:b/>
          <w:sz w:val="32"/>
          <w:szCs w:val="32"/>
        </w:rPr>
        <w:t>局</w:t>
      </w:r>
    </w:p>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广东惠</w:t>
      </w:r>
      <w:r>
        <w:rPr>
          <w:rFonts w:asciiTheme="majorEastAsia" w:hAnsiTheme="majorEastAsia" w:eastAsiaTheme="majorEastAsia"/>
          <w:b/>
          <w:sz w:val="32"/>
          <w:szCs w:val="32"/>
        </w:rPr>
        <w:t>正资</w:t>
      </w:r>
      <w:r>
        <w:rPr>
          <w:rFonts w:hint="eastAsia" w:asciiTheme="majorEastAsia" w:hAnsiTheme="majorEastAsia" w:eastAsiaTheme="majorEastAsia"/>
          <w:b/>
          <w:sz w:val="32"/>
          <w:szCs w:val="32"/>
        </w:rPr>
        <w:t>产</w:t>
      </w:r>
      <w:r>
        <w:rPr>
          <w:rFonts w:asciiTheme="majorEastAsia" w:hAnsiTheme="majorEastAsia" w:eastAsiaTheme="majorEastAsia"/>
          <w:b/>
          <w:sz w:val="32"/>
          <w:szCs w:val="32"/>
        </w:rPr>
        <w:t>评估与</w:t>
      </w:r>
      <w:r>
        <w:rPr>
          <w:rFonts w:hint="eastAsia" w:asciiTheme="majorEastAsia" w:hAnsiTheme="majorEastAsia" w:eastAsiaTheme="majorEastAsia"/>
          <w:b/>
          <w:sz w:val="32"/>
          <w:szCs w:val="32"/>
        </w:rPr>
        <w:t>房</w:t>
      </w:r>
      <w:r>
        <w:rPr>
          <w:rFonts w:asciiTheme="majorEastAsia" w:hAnsiTheme="majorEastAsia" w:eastAsiaTheme="majorEastAsia"/>
          <w:b/>
          <w:sz w:val="32"/>
          <w:szCs w:val="32"/>
        </w:rPr>
        <w:t>地产土地估价有限公司</w:t>
      </w:r>
    </w:p>
    <w:p>
      <w:pPr>
        <w:jc w:val="center"/>
        <w:rPr>
          <w:rFonts w:ascii="宋体" w:hAnsi="宋体" w:eastAsia="宋体"/>
        </w:rPr>
        <w:sectPr>
          <w:pgSz w:w="11910" w:h="16840"/>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Theme="majorEastAsia" w:hAnsiTheme="majorEastAsia" w:eastAsiaTheme="majorEastAsia"/>
          <w:b/>
          <w:sz w:val="32"/>
          <w:szCs w:val="32"/>
        </w:rPr>
        <w:t>二〇二二年九</w:t>
      </w:r>
      <w:r>
        <w:rPr>
          <w:rFonts w:asciiTheme="majorEastAsia" w:hAnsiTheme="majorEastAsia" w:eastAsiaTheme="majorEastAsia"/>
          <w:b/>
          <w:sz w:val="32"/>
          <w:szCs w:val="32"/>
        </w:rPr>
        <w:t>月</w:t>
      </w:r>
    </w:p>
    <w:p>
      <w:pPr>
        <w:pStyle w:val="16"/>
        <w:tabs>
          <w:tab w:val="right" w:leader="dot" w:pos="8310"/>
        </w:tabs>
        <w:jc w:val="center"/>
        <w:rPr>
          <w:rFonts w:hint="eastAsia"/>
          <w:sz w:val="40"/>
          <w:szCs w:val="40"/>
          <w:highlight w:val="none"/>
        </w:rPr>
      </w:pPr>
      <w:bookmarkStart w:id="0" w:name="_Toc21935"/>
      <w:r>
        <w:rPr>
          <w:rFonts w:hint="eastAsia"/>
          <w:sz w:val="40"/>
          <w:szCs w:val="40"/>
          <w:highlight w:val="none"/>
        </w:rPr>
        <w:t>目录</w:t>
      </w:r>
    </w:p>
    <w:p/>
    <w:p>
      <w:pPr>
        <w:pStyle w:val="16"/>
        <w:keepNext w:val="0"/>
        <w:keepLines w:val="0"/>
        <w:pageBreakBefore w:val="0"/>
        <w:widowControl w:val="0"/>
        <w:tabs>
          <w:tab w:val="right" w:leader="dot" w:pos="8310"/>
        </w:tabs>
        <w:kinsoku/>
        <w:wordWrap/>
        <w:overflowPunct/>
        <w:topLinePunct w:val="0"/>
        <w:autoSpaceDE/>
        <w:autoSpaceDN/>
        <w:bidi w:val="0"/>
        <w:adjustRightInd/>
        <w:snapToGrid/>
        <w:spacing w:line="720" w:lineRule="auto"/>
        <w:textAlignment w:val="auto"/>
        <w:rPr>
          <w:sz w:val="28"/>
          <w:szCs w:val="28"/>
        </w:rPr>
      </w:pPr>
      <w:r>
        <w:rPr>
          <w:rFonts w:hint="eastAsia"/>
          <w:sz w:val="28"/>
          <w:szCs w:val="28"/>
          <w:highlight w:val="yellow"/>
        </w:rPr>
        <w:fldChar w:fldCharType="begin"/>
      </w:r>
      <w:r>
        <w:rPr>
          <w:rFonts w:hint="eastAsia"/>
          <w:sz w:val="28"/>
          <w:szCs w:val="28"/>
          <w:highlight w:val="yellow"/>
        </w:rPr>
        <w:instrText xml:space="preserve">TOC \o "1-2" \h \u </w:instrText>
      </w:r>
      <w:r>
        <w:rPr>
          <w:rFonts w:hint="eastAsia"/>
          <w:sz w:val="28"/>
          <w:szCs w:val="28"/>
          <w:highlight w:val="yellow"/>
        </w:rPr>
        <w:fldChar w:fldCharType="separate"/>
      </w:r>
      <w:r>
        <w:rPr>
          <w:rFonts w:hint="eastAsia"/>
          <w:sz w:val="28"/>
          <w:szCs w:val="28"/>
          <w:highlight w:val="yellow"/>
        </w:rPr>
        <w:fldChar w:fldCharType="begin"/>
      </w:r>
      <w:r>
        <w:rPr>
          <w:rFonts w:hint="eastAsia"/>
          <w:sz w:val="28"/>
          <w:szCs w:val="28"/>
          <w:highlight w:val="yellow"/>
        </w:rPr>
        <w:instrText xml:space="preserve"> HYPERLINK \l _Toc30481 </w:instrText>
      </w:r>
      <w:r>
        <w:rPr>
          <w:rFonts w:hint="eastAsia"/>
          <w:sz w:val="28"/>
          <w:szCs w:val="28"/>
          <w:highlight w:val="yellow"/>
        </w:rPr>
        <w:fldChar w:fldCharType="separate"/>
      </w:r>
      <w:r>
        <w:rPr>
          <w:rFonts w:hint="eastAsia" w:ascii="宋体" w:hAnsi="宋体" w:eastAsia="宋体" w:cs="宋体"/>
          <w:sz w:val="28"/>
          <w:szCs w:val="28"/>
        </w:rPr>
        <w:t xml:space="preserve">第一章、 </w:t>
      </w:r>
      <w:r>
        <w:rPr>
          <w:rFonts w:hint="eastAsia"/>
          <w:sz w:val="28"/>
          <w:szCs w:val="28"/>
        </w:rPr>
        <w:t>工作范围及地价内涵</w:t>
      </w:r>
      <w:r>
        <w:rPr>
          <w:sz w:val="28"/>
          <w:szCs w:val="28"/>
        </w:rPr>
        <w:tab/>
      </w:r>
      <w:r>
        <w:rPr>
          <w:sz w:val="28"/>
          <w:szCs w:val="28"/>
        </w:rPr>
        <w:fldChar w:fldCharType="begin"/>
      </w:r>
      <w:r>
        <w:rPr>
          <w:sz w:val="28"/>
          <w:szCs w:val="28"/>
        </w:rPr>
        <w:instrText xml:space="preserve"> PAGEREF _Toc30481 \h </w:instrText>
      </w:r>
      <w:r>
        <w:rPr>
          <w:sz w:val="28"/>
          <w:szCs w:val="28"/>
        </w:rPr>
        <w:fldChar w:fldCharType="separate"/>
      </w:r>
      <w:r>
        <w:rPr>
          <w:sz w:val="28"/>
          <w:szCs w:val="28"/>
        </w:rPr>
        <w:t>1</w:t>
      </w:r>
      <w:r>
        <w:rPr>
          <w:sz w:val="28"/>
          <w:szCs w:val="28"/>
        </w:rPr>
        <w:fldChar w:fldCharType="end"/>
      </w:r>
      <w:r>
        <w:rPr>
          <w:rFonts w:hint="eastAsia"/>
          <w:sz w:val="28"/>
          <w:szCs w:val="28"/>
          <w:highlight w:val="yellow"/>
        </w:rPr>
        <w:fldChar w:fldCharType="end"/>
      </w:r>
    </w:p>
    <w:p>
      <w:pPr>
        <w:pStyle w:val="17"/>
        <w:keepNext w:val="0"/>
        <w:keepLines w:val="0"/>
        <w:pageBreakBefore w:val="0"/>
        <w:widowControl w:val="0"/>
        <w:tabs>
          <w:tab w:val="right" w:leader="dot" w:pos="8310"/>
        </w:tabs>
        <w:kinsoku/>
        <w:wordWrap/>
        <w:overflowPunct/>
        <w:topLinePunct w:val="0"/>
        <w:autoSpaceDE/>
        <w:autoSpaceDN/>
        <w:bidi w:val="0"/>
        <w:adjustRightInd/>
        <w:snapToGrid/>
        <w:spacing w:line="720" w:lineRule="auto"/>
        <w:textAlignment w:val="auto"/>
        <w:rPr>
          <w:sz w:val="28"/>
          <w:szCs w:val="28"/>
        </w:rPr>
      </w:pPr>
      <w:r>
        <w:rPr>
          <w:rFonts w:hint="eastAsia"/>
          <w:sz w:val="28"/>
          <w:szCs w:val="28"/>
          <w:highlight w:val="yellow"/>
        </w:rPr>
        <w:fldChar w:fldCharType="begin"/>
      </w:r>
      <w:r>
        <w:rPr>
          <w:rFonts w:hint="eastAsia"/>
          <w:sz w:val="28"/>
          <w:szCs w:val="28"/>
          <w:highlight w:val="yellow"/>
        </w:rPr>
        <w:instrText xml:space="preserve"> HYPERLINK \l _Toc3153 </w:instrText>
      </w:r>
      <w:r>
        <w:rPr>
          <w:rFonts w:hint="eastAsia"/>
          <w:sz w:val="28"/>
          <w:szCs w:val="28"/>
          <w:highlight w:val="yellow"/>
        </w:rPr>
        <w:fldChar w:fldCharType="separate"/>
      </w:r>
      <w:r>
        <w:rPr>
          <w:rFonts w:hint="eastAsia" w:asciiTheme="majorEastAsia" w:hAnsiTheme="majorEastAsia" w:eastAsiaTheme="majorEastAsia"/>
          <w:sz w:val="28"/>
          <w:szCs w:val="28"/>
        </w:rPr>
        <w:t>一、工作范围</w:t>
      </w:r>
      <w:r>
        <w:rPr>
          <w:sz w:val="28"/>
          <w:szCs w:val="28"/>
        </w:rPr>
        <w:tab/>
      </w:r>
      <w:r>
        <w:rPr>
          <w:sz w:val="28"/>
          <w:szCs w:val="28"/>
        </w:rPr>
        <w:fldChar w:fldCharType="begin"/>
      </w:r>
      <w:r>
        <w:rPr>
          <w:sz w:val="28"/>
          <w:szCs w:val="28"/>
        </w:rPr>
        <w:instrText xml:space="preserve"> PAGEREF _Toc3153 \h </w:instrText>
      </w:r>
      <w:r>
        <w:rPr>
          <w:sz w:val="28"/>
          <w:szCs w:val="28"/>
        </w:rPr>
        <w:fldChar w:fldCharType="separate"/>
      </w:r>
      <w:r>
        <w:rPr>
          <w:sz w:val="28"/>
          <w:szCs w:val="28"/>
        </w:rPr>
        <w:t>1</w:t>
      </w:r>
      <w:r>
        <w:rPr>
          <w:sz w:val="28"/>
          <w:szCs w:val="28"/>
        </w:rPr>
        <w:fldChar w:fldCharType="end"/>
      </w:r>
      <w:r>
        <w:rPr>
          <w:rFonts w:hint="eastAsia"/>
          <w:sz w:val="28"/>
          <w:szCs w:val="28"/>
          <w:highlight w:val="yellow"/>
        </w:rPr>
        <w:fldChar w:fldCharType="end"/>
      </w:r>
    </w:p>
    <w:p>
      <w:pPr>
        <w:pStyle w:val="17"/>
        <w:keepNext w:val="0"/>
        <w:keepLines w:val="0"/>
        <w:pageBreakBefore w:val="0"/>
        <w:widowControl w:val="0"/>
        <w:tabs>
          <w:tab w:val="right" w:leader="dot" w:pos="8310"/>
        </w:tabs>
        <w:kinsoku/>
        <w:wordWrap/>
        <w:overflowPunct/>
        <w:topLinePunct w:val="0"/>
        <w:autoSpaceDE/>
        <w:autoSpaceDN/>
        <w:bidi w:val="0"/>
        <w:adjustRightInd/>
        <w:snapToGrid/>
        <w:spacing w:line="720" w:lineRule="auto"/>
        <w:textAlignment w:val="auto"/>
        <w:rPr>
          <w:sz w:val="28"/>
          <w:szCs w:val="28"/>
        </w:rPr>
      </w:pPr>
      <w:r>
        <w:rPr>
          <w:rFonts w:hint="eastAsia"/>
          <w:sz w:val="28"/>
          <w:szCs w:val="28"/>
          <w:highlight w:val="yellow"/>
        </w:rPr>
        <w:fldChar w:fldCharType="begin"/>
      </w:r>
      <w:r>
        <w:rPr>
          <w:rFonts w:hint="eastAsia"/>
          <w:sz w:val="28"/>
          <w:szCs w:val="28"/>
          <w:highlight w:val="yellow"/>
        </w:rPr>
        <w:instrText xml:space="preserve"> HYPERLINK \l _Toc12280 </w:instrText>
      </w:r>
      <w:r>
        <w:rPr>
          <w:rFonts w:hint="eastAsia"/>
          <w:sz w:val="28"/>
          <w:szCs w:val="28"/>
          <w:highlight w:val="yellow"/>
        </w:rPr>
        <w:fldChar w:fldCharType="separate"/>
      </w:r>
      <w:r>
        <w:rPr>
          <w:rFonts w:hint="eastAsia" w:asciiTheme="majorEastAsia" w:hAnsiTheme="majorEastAsia" w:eastAsiaTheme="majorEastAsia"/>
          <w:sz w:val="28"/>
          <w:szCs w:val="28"/>
        </w:rPr>
        <w:t>二、惠阳区</w:t>
      </w:r>
      <w:r>
        <w:rPr>
          <w:rFonts w:hint="eastAsia" w:asciiTheme="majorEastAsia" w:hAnsiTheme="majorEastAsia" w:eastAsiaTheme="majorEastAsia"/>
          <w:sz w:val="28"/>
          <w:szCs w:val="28"/>
          <w:lang w:val="en-US" w:eastAsia="zh-CN"/>
        </w:rPr>
        <w:t>国有</w:t>
      </w:r>
      <w:r>
        <w:rPr>
          <w:rFonts w:hint="eastAsia" w:asciiTheme="majorEastAsia" w:hAnsiTheme="majorEastAsia" w:eastAsiaTheme="majorEastAsia"/>
          <w:sz w:val="28"/>
          <w:szCs w:val="28"/>
        </w:rPr>
        <w:t>农用地基准地价地价内涵</w:t>
      </w:r>
      <w:r>
        <w:rPr>
          <w:sz w:val="28"/>
          <w:szCs w:val="28"/>
        </w:rPr>
        <w:tab/>
      </w:r>
      <w:r>
        <w:rPr>
          <w:sz w:val="28"/>
          <w:szCs w:val="28"/>
        </w:rPr>
        <w:fldChar w:fldCharType="begin"/>
      </w:r>
      <w:r>
        <w:rPr>
          <w:sz w:val="28"/>
          <w:szCs w:val="28"/>
        </w:rPr>
        <w:instrText xml:space="preserve"> PAGEREF _Toc12280 \h </w:instrText>
      </w:r>
      <w:r>
        <w:rPr>
          <w:sz w:val="28"/>
          <w:szCs w:val="28"/>
        </w:rPr>
        <w:fldChar w:fldCharType="separate"/>
      </w:r>
      <w:r>
        <w:rPr>
          <w:sz w:val="28"/>
          <w:szCs w:val="28"/>
        </w:rPr>
        <w:t>1</w:t>
      </w:r>
      <w:r>
        <w:rPr>
          <w:sz w:val="28"/>
          <w:szCs w:val="28"/>
        </w:rPr>
        <w:fldChar w:fldCharType="end"/>
      </w:r>
      <w:r>
        <w:rPr>
          <w:rFonts w:hint="eastAsia"/>
          <w:sz w:val="28"/>
          <w:szCs w:val="28"/>
          <w:highlight w:val="yellow"/>
        </w:rPr>
        <w:fldChar w:fldCharType="end"/>
      </w:r>
    </w:p>
    <w:p>
      <w:pPr>
        <w:pStyle w:val="16"/>
        <w:keepNext w:val="0"/>
        <w:keepLines w:val="0"/>
        <w:pageBreakBefore w:val="0"/>
        <w:widowControl w:val="0"/>
        <w:tabs>
          <w:tab w:val="right" w:leader="dot" w:pos="8310"/>
        </w:tabs>
        <w:kinsoku/>
        <w:wordWrap/>
        <w:overflowPunct/>
        <w:topLinePunct w:val="0"/>
        <w:autoSpaceDE/>
        <w:autoSpaceDN/>
        <w:bidi w:val="0"/>
        <w:adjustRightInd/>
        <w:snapToGrid/>
        <w:spacing w:line="720" w:lineRule="auto"/>
        <w:textAlignment w:val="auto"/>
        <w:rPr>
          <w:sz w:val="28"/>
          <w:szCs w:val="28"/>
        </w:rPr>
      </w:pPr>
      <w:r>
        <w:rPr>
          <w:rFonts w:hint="eastAsia"/>
          <w:sz w:val="28"/>
          <w:szCs w:val="28"/>
          <w:highlight w:val="yellow"/>
        </w:rPr>
        <w:fldChar w:fldCharType="begin"/>
      </w:r>
      <w:r>
        <w:rPr>
          <w:rFonts w:hint="eastAsia"/>
          <w:sz w:val="28"/>
          <w:szCs w:val="28"/>
          <w:highlight w:val="yellow"/>
        </w:rPr>
        <w:instrText xml:space="preserve"> HYPERLINK \l _Toc30534 </w:instrText>
      </w:r>
      <w:r>
        <w:rPr>
          <w:rFonts w:hint="eastAsia"/>
          <w:sz w:val="28"/>
          <w:szCs w:val="28"/>
          <w:highlight w:val="yellow"/>
        </w:rPr>
        <w:fldChar w:fldCharType="separate"/>
      </w:r>
      <w:r>
        <w:rPr>
          <w:rFonts w:hint="eastAsia" w:ascii="宋体" w:hAnsi="宋体" w:eastAsia="宋体" w:cs="宋体"/>
          <w:sz w:val="28"/>
          <w:szCs w:val="28"/>
        </w:rPr>
        <w:t xml:space="preserve">第二章、 </w:t>
      </w:r>
      <w:r>
        <w:rPr>
          <w:rFonts w:hint="eastAsia"/>
          <w:sz w:val="28"/>
          <w:szCs w:val="28"/>
        </w:rPr>
        <w:t>惠阳区</w:t>
      </w:r>
      <w:r>
        <w:rPr>
          <w:rFonts w:hint="eastAsia"/>
          <w:sz w:val="28"/>
          <w:szCs w:val="28"/>
          <w:lang w:val="en-US" w:eastAsia="zh-CN"/>
        </w:rPr>
        <w:t>国有</w:t>
      </w:r>
      <w:r>
        <w:rPr>
          <w:rFonts w:hint="eastAsia"/>
          <w:sz w:val="28"/>
          <w:szCs w:val="28"/>
        </w:rPr>
        <w:t>农用地基准地价成果</w:t>
      </w:r>
      <w:r>
        <w:rPr>
          <w:sz w:val="28"/>
          <w:szCs w:val="28"/>
        </w:rPr>
        <w:tab/>
      </w:r>
      <w:r>
        <w:rPr>
          <w:sz w:val="28"/>
          <w:szCs w:val="28"/>
        </w:rPr>
        <w:fldChar w:fldCharType="begin"/>
      </w:r>
      <w:r>
        <w:rPr>
          <w:sz w:val="28"/>
          <w:szCs w:val="28"/>
        </w:rPr>
        <w:instrText xml:space="preserve"> PAGEREF _Toc30534 \h </w:instrText>
      </w:r>
      <w:r>
        <w:rPr>
          <w:sz w:val="28"/>
          <w:szCs w:val="28"/>
        </w:rPr>
        <w:fldChar w:fldCharType="separate"/>
      </w:r>
      <w:r>
        <w:rPr>
          <w:sz w:val="28"/>
          <w:szCs w:val="28"/>
        </w:rPr>
        <w:t>4</w:t>
      </w:r>
      <w:r>
        <w:rPr>
          <w:sz w:val="28"/>
          <w:szCs w:val="28"/>
        </w:rPr>
        <w:fldChar w:fldCharType="end"/>
      </w:r>
      <w:r>
        <w:rPr>
          <w:rFonts w:hint="eastAsia"/>
          <w:sz w:val="28"/>
          <w:szCs w:val="28"/>
          <w:highlight w:val="yellow"/>
        </w:rPr>
        <w:fldChar w:fldCharType="end"/>
      </w:r>
    </w:p>
    <w:p>
      <w:pPr>
        <w:keepNext w:val="0"/>
        <w:keepLines w:val="0"/>
        <w:pageBreakBefore w:val="0"/>
        <w:widowControl w:val="0"/>
        <w:kinsoku/>
        <w:wordWrap/>
        <w:overflowPunct/>
        <w:topLinePunct w:val="0"/>
        <w:autoSpaceDE/>
        <w:autoSpaceDN/>
        <w:bidi w:val="0"/>
        <w:adjustRightInd/>
        <w:snapToGrid/>
        <w:spacing w:line="720" w:lineRule="auto"/>
        <w:textAlignment w:val="auto"/>
      </w:pPr>
      <w:r>
        <w:rPr>
          <w:rFonts w:hint="eastAsia"/>
          <w:sz w:val="28"/>
          <w:szCs w:val="28"/>
          <w:highlight w:val="yellow"/>
        </w:rPr>
        <w:fldChar w:fldCharType="end"/>
      </w:r>
    </w:p>
    <w:p>
      <w:pPr>
        <w:bidi w:val="0"/>
        <w:rPr>
          <w:rFonts w:hint="eastAsia"/>
        </w:rPr>
      </w:pPr>
    </w:p>
    <w:p>
      <w:pPr>
        <w:rPr>
          <w:rFonts w:hint="eastAsia"/>
        </w:rPr>
      </w:pPr>
    </w:p>
    <w:p>
      <w:pPr>
        <w:rPr>
          <w:rFonts w:hint="eastAsia"/>
        </w:rPr>
        <w:sectPr>
          <w:footerReference r:id="rId3" w:type="default"/>
          <w:pgSz w:w="11910" w:h="16840"/>
          <w:pgMar w:top="1440" w:right="1800" w:bottom="1440" w:left="1800" w:header="720" w:footer="720" w:gutter="0"/>
          <w:pgBorders>
            <w:top w:val="none" w:sz="0" w:space="0"/>
            <w:left w:val="none" w:sz="0" w:space="0"/>
            <w:bottom w:val="none" w:sz="0" w:space="0"/>
            <w:right w:val="none" w:sz="0" w:space="0"/>
          </w:pgBorders>
          <w:pgNumType w:start="1"/>
          <w:cols w:space="720" w:num="1"/>
        </w:sectPr>
      </w:pPr>
    </w:p>
    <w:p>
      <w:pPr>
        <w:pStyle w:val="2"/>
        <w:numPr>
          <w:ilvl w:val="0"/>
          <w:numId w:val="2"/>
        </w:numPr>
      </w:pPr>
      <w:bookmarkStart w:id="1" w:name="_Toc30481"/>
      <w:bookmarkStart w:id="2" w:name="_Toc26231"/>
      <w:r>
        <w:rPr>
          <w:rFonts w:hint="eastAsia"/>
        </w:rPr>
        <w:t>工作范围及地价内涵</w:t>
      </w:r>
      <w:bookmarkEnd w:id="0"/>
      <w:bookmarkEnd w:id="1"/>
      <w:bookmarkEnd w:id="2"/>
    </w:p>
    <w:p>
      <w:pPr>
        <w:pStyle w:val="3"/>
        <w:numPr>
          <w:ilvl w:val="1"/>
          <w:numId w:val="0"/>
        </w:numPr>
        <w:spacing w:before="268"/>
        <w:rPr>
          <w:rFonts w:asciiTheme="majorEastAsia" w:hAnsiTheme="majorEastAsia" w:eastAsiaTheme="majorEastAsia"/>
        </w:rPr>
      </w:pPr>
      <w:bookmarkStart w:id="3" w:name="_Toc10289"/>
      <w:bookmarkStart w:id="4" w:name="_Toc10465"/>
      <w:bookmarkStart w:id="5" w:name="_Toc3153"/>
      <w:r>
        <w:rPr>
          <w:rFonts w:hint="eastAsia" w:asciiTheme="majorEastAsia" w:hAnsiTheme="majorEastAsia" w:eastAsiaTheme="majorEastAsia"/>
        </w:rPr>
        <w:t>一、工作范围</w:t>
      </w:r>
      <w:bookmarkEnd w:id="3"/>
      <w:bookmarkEnd w:id="4"/>
      <w:bookmarkEnd w:id="5"/>
    </w:p>
    <w:p>
      <w:pPr>
        <w:pStyle w:val="12"/>
        <w:spacing w:before="82" w:line="480" w:lineRule="exact"/>
        <w:ind w:left="119" w:right="204" w:firstLine="482"/>
        <w:jc w:val="both"/>
        <w:rPr>
          <w:rFonts w:hint="eastAsia" w:ascii="宋体" w:hAnsi="宋体" w:eastAsia="宋体"/>
          <w:highlight w:val="none"/>
          <w:lang w:val="en-US" w:eastAsia="zh-CN"/>
        </w:rPr>
      </w:pPr>
      <w:r>
        <w:rPr>
          <w:rFonts w:hint="eastAsia" w:ascii="宋体" w:hAnsi="宋体" w:eastAsia="宋体"/>
          <w:highlight w:val="none"/>
          <w:lang w:val="en-US" w:eastAsia="zh-CN"/>
        </w:rPr>
        <w:t>本次惠阳区国有农用地基准地价工作范围为惠阳区全部行政辖区范围，评估对象是工作范围内的现有国有耕地、园地、林地、坑塘水面与水库水面、其他国有农用地和国有宜农未利用地，其中其他国有农用地和国有宜农未利用地基准地价参照国有耕地、园地、林地、坑塘水面与水库水面四种基本用地类型编制对应的修正系数，不进行单独定价（本轮底图采用的是惠州市惠阳区第三次全国国土调查成果，数据成果均统一为2000国家大地坐标系）。</w:t>
      </w:r>
    </w:p>
    <w:p/>
    <w:p>
      <w:pPr>
        <w:pStyle w:val="3"/>
        <w:numPr>
          <w:ilvl w:val="1"/>
          <w:numId w:val="0"/>
        </w:numPr>
        <w:spacing w:before="44"/>
        <w:rPr>
          <w:rFonts w:asciiTheme="majorEastAsia" w:hAnsiTheme="majorEastAsia" w:eastAsiaTheme="majorEastAsia"/>
        </w:rPr>
      </w:pPr>
      <w:bookmarkStart w:id="6" w:name="_Toc6088"/>
      <w:bookmarkStart w:id="7" w:name="_Toc12280"/>
      <w:bookmarkStart w:id="8" w:name="_Toc17468"/>
      <w:r>
        <w:rPr>
          <w:rFonts w:hint="eastAsia" w:asciiTheme="majorEastAsia" w:hAnsiTheme="majorEastAsia" w:eastAsiaTheme="majorEastAsia"/>
        </w:rPr>
        <w:t>二、惠阳区</w:t>
      </w:r>
      <w:r>
        <w:rPr>
          <w:rFonts w:hint="eastAsia" w:asciiTheme="majorEastAsia" w:hAnsiTheme="majorEastAsia" w:eastAsiaTheme="majorEastAsia"/>
          <w:lang w:val="en-US" w:eastAsia="zh-CN"/>
        </w:rPr>
        <w:t>国有</w:t>
      </w:r>
      <w:r>
        <w:rPr>
          <w:rFonts w:hint="eastAsia" w:asciiTheme="majorEastAsia" w:hAnsiTheme="majorEastAsia" w:eastAsiaTheme="majorEastAsia"/>
        </w:rPr>
        <w:t>农用地基准地价地价内涵</w:t>
      </w:r>
      <w:bookmarkEnd w:id="6"/>
      <w:bookmarkEnd w:id="7"/>
      <w:bookmarkEnd w:id="8"/>
    </w:p>
    <w:p>
      <w:pPr>
        <w:pStyle w:val="12"/>
        <w:spacing w:before="82" w:line="480" w:lineRule="exact"/>
        <w:ind w:left="119" w:right="204" w:firstLine="482"/>
        <w:jc w:val="both"/>
        <w:rPr>
          <w:rFonts w:hint="eastAsia" w:ascii="宋体" w:hAnsi="宋体" w:eastAsia="宋体"/>
          <w:highlight w:val="none"/>
          <w:lang w:val="en-US" w:eastAsia="zh-CN"/>
        </w:rPr>
      </w:pPr>
      <w:r>
        <w:rPr>
          <w:rFonts w:hint="eastAsia" w:ascii="宋体" w:hAnsi="宋体" w:eastAsia="宋体"/>
          <w:highlight w:val="none"/>
          <w:lang w:val="en-US" w:eastAsia="zh-CN"/>
        </w:rPr>
        <w:t>国有农用地基准地价是县（市、区）政府根据需要针对国有农用地不同级别或不同均质地域，按照不同用地类型，分别评估确定的某一估价期日的平均价格。</w:t>
      </w:r>
    </w:p>
    <w:p>
      <w:pPr>
        <w:pStyle w:val="12"/>
        <w:spacing w:before="82" w:line="480" w:lineRule="exact"/>
        <w:ind w:left="119" w:right="204" w:firstLine="482"/>
        <w:jc w:val="both"/>
        <w:rPr>
          <w:rFonts w:hint="eastAsia" w:ascii="宋体" w:hAnsi="宋体" w:eastAsia="宋体"/>
          <w:spacing w:val="-6"/>
          <w:sz w:val="24"/>
          <w:highlight w:val="none"/>
        </w:rPr>
      </w:pPr>
      <w:r>
        <w:rPr>
          <w:rFonts w:hint="eastAsia" w:ascii="宋体" w:hAnsi="宋体" w:eastAsia="宋体"/>
          <w:spacing w:val="-6"/>
          <w:sz w:val="24"/>
          <w:highlight w:val="none"/>
          <w:lang w:val="en-US" w:eastAsia="zh-CN"/>
        </w:rPr>
        <w:t>根据《农用地估价规程》（</w:t>
      </w:r>
      <w:r>
        <w:rPr>
          <w:rFonts w:hint="default" w:ascii="宋体" w:hAnsi="宋体" w:eastAsia="宋体"/>
          <w:spacing w:val="-6"/>
          <w:sz w:val="24"/>
          <w:highlight w:val="none"/>
          <w:lang w:val="en-US" w:eastAsia="zh-CN"/>
        </w:rPr>
        <w:t>GB/T28406-2012</w:t>
      </w:r>
      <w:r>
        <w:rPr>
          <w:rFonts w:hint="eastAsia" w:ascii="宋体" w:hAnsi="宋体" w:eastAsia="宋体"/>
          <w:spacing w:val="-6"/>
          <w:sz w:val="24"/>
          <w:highlight w:val="none"/>
          <w:lang w:val="en-US" w:eastAsia="zh-CN"/>
        </w:rPr>
        <w:t>）《自然资源价格评估通则》（TD/T 1061-2021），结合惠州市惠阳区国有农用地的分布和利用现状，设定本次基准地价内涵包括地类用途、估价期日、土地使用期、价格类型、基础设施状况等</w:t>
      </w:r>
      <w:r>
        <w:rPr>
          <w:rFonts w:hint="eastAsia" w:ascii="宋体" w:hAnsi="宋体" w:eastAsia="宋体"/>
          <w:spacing w:val="-6"/>
          <w:sz w:val="24"/>
          <w:highlight w:val="none"/>
        </w:rPr>
        <w:t>。本次惠州市惠阳区国有农用地基准地价的评估用途主要为耕地、园地、林地、坑塘水面与水库水面四种用地类型，具体基准地价内涵如下：</w:t>
      </w:r>
    </w:p>
    <w:p>
      <w:pPr>
        <w:pStyle w:val="12"/>
        <w:numPr>
          <w:ilvl w:val="0"/>
          <w:numId w:val="3"/>
        </w:numPr>
        <w:spacing w:before="82" w:line="480" w:lineRule="exact"/>
        <w:ind w:left="119" w:right="204" w:firstLine="482"/>
        <w:jc w:val="both"/>
        <w:rPr>
          <w:rFonts w:hint="eastAsia" w:ascii="宋体" w:hAnsi="宋体" w:eastAsia="宋体"/>
          <w:highlight w:val="none"/>
          <w:lang w:val="en-US" w:eastAsia="zh-CN"/>
        </w:rPr>
      </w:pPr>
      <w:r>
        <w:rPr>
          <w:rFonts w:hint="eastAsia" w:ascii="宋体" w:hAnsi="宋体" w:eastAsia="宋体"/>
          <w:highlight w:val="none"/>
          <w:lang w:val="en-US" w:eastAsia="zh-CN"/>
        </w:rPr>
        <w:t>耕地（水田）：土地在正常市场条件，耕作制度为两年五熟（“早稻</w:t>
      </w:r>
      <w:r>
        <w:rPr>
          <w:rFonts w:hint="default" w:ascii="宋体" w:hAnsi="宋体" w:eastAsia="宋体"/>
          <w:highlight w:val="none"/>
          <w:lang w:val="en-US" w:eastAsia="zh-CN"/>
        </w:rPr>
        <w:t>-</w:t>
      </w:r>
      <w:r>
        <w:rPr>
          <w:rFonts w:hint="eastAsia" w:ascii="宋体" w:hAnsi="宋体" w:eastAsia="宋体"/>
          <w:highlight w:val="none"/>
          <w:lang w:val="en-US" w:eastAsia="zh-CN"/>
        </w:rPr>
        <w:t>晚稻</w:t>
      </w:r>
      <w:r>
        <w:rPr>
          <w:rFonts w:hint="default" w:ascii="宋体" w:hAnsi="宋体" w:eastAsia="宋体"/>
          <w:highlight w:val="none"/>
          <w:lang w:val="en-US" w:eastAsia="zh-CN"/>
        </w:rPr>
        <w:t>-</w:t>
      </w:r>
      <w:r>
        <w:rPr>
          <w:rFonts w:hint="eastAsia" w:ascii="宋体" w:hAnsi="宋体" w:eastAsia="宋体"/>
          <w:highlight w:val="none"/>
          <w:lang w:val="en-US" w:eastAsia="zh-CN"/>
        </w:rPr>
        <w:t>甘薯</w:t>
      </w:r>
      <w:r>
        <w:rPr>
          <w:rFonts w:hint="default" w:ascii="宋体" w:hAnsi="宋体" w:eastAsia="宋体"/>
          <w:highlight w:val="none"/>
          <w:lang w:val="en-US" w:eastAsia="zh-CN"/>
        </w:rPr>
        <w:t>-</w:t>
      </w:r>
      <w:r>
        <w:rPr>
          <w:rFonts w:hint="eastAsia" w:ascii="宋体" w:hAnsi="宋体" w:eastAsia="宋体"/>
          <w:highlight w:val="none"/>
          <w:lang w:val="en-US" w:eastAsia="zh-CN"/>
        </w:rPr>
        <w:t>早稻</w:t>
      </w:r>
      <w:r>
        <w:rPr>
          <w:rFonts w:hint="default" w:ascii="宋体" w:hAnsi="宋体" w:eastAsia="宋体"/>
          <w:highlight w:val="none"/>
          <w:lang w:val="en-US" w:eastAsia="zh-CN"/>
        </w:rPr>
        <w:t>-</w:t>
      </w:r>
      <w:r>
        <w:rPr>
          <w:rFonts w:hint="eastAsia" w:ascii="宋体" w:hAnsi="宋体" w:eastAsia="宋体"/>
          <w:highlight w:val="none"/>
          <w:lang w:val="en-US" w:eastAsia="zh-CN"/>
        </w:rPr>
        <w:t>晚稻”），基准作物设定为早稻、晚稻、甘薯，宗地外道路通达且有水源保障、宗地内平整、形状规则、有基本的排水与灌溉设施且田间道路密度适中，于估价期日为</w:t>
      </w:r>
      <w:bookmarkStart w:id="9" w:name="OLE_LINK2"/>
      <w:r>
        <w:rPr>
          <w:rFonts w:hint="eastAsia" w:ascii="宋体" w:hAnsi="宋体" w:eastAsia="宋体"/>
          <w:highlight w:val="none"/>
          <w:lang w:val="en-US" w:eastAsia="zh-CN"/>
        </w:rPr>
        <w:t>2022年6月1日</w:t>
      </w:r>
      <w:bookmarkEnd w:id="9"/>
      <w:r>
        <w:rPr>
          <w:rFonts w:hint="eastAsia" w:ascii="宋体" w:hAnsi="宋体" w:eastAsia="宋体"/>
          <w:highlight w:val="none"/>
          <w:lang w:val="en-US" w:eastAsia="zh-CN"/>
        </w:rPr>
        <w:t>，土地使用期限为</w:t>
      </w:r>
      <w:r>
        <w:rPr>
          <w:rFonts w:hint="default" w:ascii="宋体" w:hAnsi="宋体" w:eastAsia="宋体"/>
          <w:highlight w:val="none"/>
          <w:lang w:val="en-US" w:eastAsia="zh-CN"/>
        </w:rPr>
        <w:t>50</w:t>
      </w:r>
      <w:r>
        <w:rPr>
          <w:rFonts w:hint="eastAsia" w:ascii="宋体" w:hAnsi="宋体" w:eastAsia="宋体"/>
          <w:highlight w:val="none"/>
          <w:lang w:val="en-US" w:eastAsia="zh-CN"/>
        </w:rPr>
        <w:t>年的国有农用地使用权价格。</w:t>
      </w:r>
    </w:p>
    <w:p>
      <w:pPr>
        <w:pStyle w:val="12"/>
        <w:numPr>
          <w:ilvl w:val="0"/>
          <w:numId w:val="3"/>
        </w:numPr>
        <w:spacing w:before="82" w:line="480" w:lineRule="exact"/>
        <w:ind w:left="119" w:right="204" w:firstLine="482"/>
        <w:jc w:val="both"/>
        <w:rPr>
          <w:rFonts w:hint="eastAsia" w:ascii="宋体" w:hAnsi="宋体" w:eastAsia="宋体"/>
          <w:highlight w:val="none"/>
          <w:lang w:val="en-US" w:eastAsia="zh-CN"/>
        </w:rPr>
      </w:pPr>
      <w:r>
        <w:rPr>
          <w:rFonts w:hint="eastAsia" w:ascii="宋体" w:hAnsi="宋体" w:eastAsia="宋体"/>
          <w:highlight w:val="none"/>
          <w:lang w:val="en-US" w:eastAsia="zh-CN"/>
        </w:rPr>
        <w:t>耕地（旱地）：土地在正常市场条件，耕作制度为一年两熟（“春花生</w:t>
      </w:r>
      <w:r>
        <w:rPr>
          <w:rFonts w:hint="default" w:ascii="宋体" w:hAnsi="宋体" w:eastAsia="宋体"/>
          <w:highlight w:val="none"/>
          <w:lang w:val="en-US" w:eastAsia="zh-CN"/>
        </w:rPr>
        <w:t>-</w:t>
      </w:r>
      <w:r>
        <w:rPr>
          <w:rFonts w:hint="eastAsia" w:ascii="宋体" w:hAnsi="宋体" w:eastAsia="宋体"/>
          <w:highlight w:val="none"/>
          <w:lang w:val="en-US" w:eastAsia="zh-CN"/>
        </w:rPr>
        <w:t>秋甘薯”），基准作物设定为花生、甘薯，宗地外道路通达且有水源保障、宗地内平整、形状规则、有基本的排水与灌溉设施且田间道路密度适中，于估价期日2022年6月1日，土地使用期限为</w:t>
      </w:r>
      <w:r>
        <w:rPr>
          <w:rFonts w:hint="default" w:ascii="宋体" w:hAnsi="宋体" w:eastAsia="宋体"/>
          <w:highlight w:val="none"/>
          <w:lang w:val="en-US" w:eastAsia="zh-CN"/>
        </w:rPr>
        <w:t>50</w:t>
      </w:r>
      <w:r>
        <w:rPr>
          <w:rFonts w:hint="eastAsia" w:ascii="宋体" w:hAnsi="宋体" w:eastAsia="宋体"/>
          <w:highlight w:val="none"/>
          <w:lang w:val="en-US" w:eastAsia="zh-CN"/>
        </w:rPr>
        <w:t>年的国有农用地使用权价格。</w:t>
      </w:r>
    </w:p>
    <w:p>
      <w:pPr>
        <w:pStyle w:val="12"/>
        <w:numPr>
          <w:ilvl w:val="0"/>
          <w:numId w:val="3"/>
        </w:numPr>
        <w:spacing w:before="82" w:line="480" w:lineRule="exact"/>
        <w:ind w:left="119" w:right="204" w:firstLine="482"/>
        <w:jc w:val="both"/>
        <w:rPr>
          <w:rFonts w:hint="eastAsia" w:ascii="宋体" w:hAnsi="宋体" w:eastAsia="宋体"/>
          <w:highlight w:val="none"/>
          <w:lang w:val="en-US" w:eastAsia="zh-CN"/>
        </w:rPr>
      </w:pPr>
      <w:r>
        <w:rPr>
          <w:rFonts w:hint="eastAsia" w:ascii="宋体" w:hAnsi="宋体" w:eastAsia="宋体"/>
          <w:highlight w:val="none"/>
          <w:lang w:val="en-US" w:eastAsia="zh-CN"/>
        </w:rPr>
        <w:t>园地：土地在正常市场条件，基准作物设定为荔枝、龙眼，宗地外道路通达且有水源保障、大小适中、宗地内有基本的排水与灌溉设施，于估价期日为2022年6月1日，土地使用期限为</w:t>
      </w:r>
      <w:r>
        <w:rPr>
          <w:rFonts w:hint="default" w:ascii="宋体" w:hAnsi="宋体" w:eastAsia="宋体"/>
          <w:highlight w:val="none"/>
          <w:lang w:val="en-US" w:eastAsia="zh-CN"/>
        </w:rPr>
        <w:t>50</w:t>
      </w:r>
      <w:r>
        <w:rPr>
          <w:rFonts w:hint="eastAsia" w:ascii="宋体" w:hAnsi="宋体" w:eastAsia="宋体"/>
          <w:highlight w:val="none"/>
          <w:lang w:val="en-US" w:eastAsia="zh-CN"/>
        </w:rPr>
        <w:t>年的国有农用地使用权价格。</w:t>
      </w:r>
    </w:p>
    <w:p>
      <w:pPr>
        <w:pStyle w:val="12"/>
        <w:numPr>
          <w:ilvl w:val="0"/>
          <w:numId w:val="3"/>
        </w:numPr>
        <w:spacing w:before="82" w:line="480" w:lineRule="exact"/>
        <w:ind w:left="119" w:right="204" w:firstLine="482"/>
        <w:jc w:val="both"/>
        <w:rPr>
          <w:rFonts w:hint="eastAsia" w:ascii="宋体" w:hAnsi="宋体" w:eastAsia="宋体"/>
          <w:highlight w:val="none"/>
        </w:rPr>
      </w:pPr>
      <w:r>
        <w:rPr>
          <w:rFonts w:hint="eastAsia" w:ascii="宋体" w:hAnsi="宋体" w:eastAsia="宋体"/>
          <w:highlight w:val="none"/>
        </w:rPr>
        <w:t>林地：土地在正常市场</w:t>
      </w:r>
      <w:r>
        <w:rPr>
          <w:rFonts w:hint="eastAsia" w:ascii="宋体" w:hAnsi="宋体" w:eastAsia="宋体"/>
          <w:highlight w:val="none"/>
          <w:lang w:val="en-US" w:eastAsia="zh-CN"/>
        </w:rPr>
        <w:t>条件，基准作物设定为桉树、松树、杉树，宗地外</w:t>
      </w:r>
      <w:r>
        <w:rPr>
          <w:rFonts w:hint="eastAsia" w:ascii="宋体" w:hAnsi="宋体" w:eastAsia="宋体"/>
          <w:highlight w:val="none"/>
        </w:rPr>
        <w:t>道路通达，于估价期日为</w:t>
      </w:r>
      <w:r>
        <w:rPr>
          <w:rFonts w:hint="eastAsia" w:ascii="宋体" w:hAnsi="宋体" w:eastAsia="宋体"/>
          <w:highlight w:val="none"/>
          <w:lang w:val="en-US" w:eastAsia="zh-CN"/>
        </w:rPr>
        <w:t>2022年6月1日，土地使用期限为</w:t>
      </w:r>
      <w:r>
        <w:rPr>
          <w:rFonts w:hint="default" w:ascii="宋体" w:hAnsi="宋体" w:eastAsia="宋体"/>
          <w:highlight w:val="none"/>
          <w:lang w:val="en-US" w:eastAsia="zh-CN"/>
        </w:rPr>
        <w:t>50</w:t>
      </w:r>
      <w:r>
        <w:rPr>
          <w:rFonts w:hint="eastAsia" w:ascii="宋体" w:hAnsi="宋体" w:eastAsia="宋体"/>
          <w:highlight w:val="none"/>
          <w:lang w:val="en-US" w:eastAsia="zh-CN"/>
        </w:rPr>
        <w:t>年的国有农用地使用权价格</w:t>
      </w:r>
      <w:r>
        <w:rPr>
          <w:rFonts w:hint="eastAsia" w:ascii="宋体" w:hAnsi="宋体" w:eastAsia="宋体"/>
          <w:highlight w:val="none"/>
        </w:rPr>
        <w:t>。</w:t>
      </w:r>
    </w:p>
    <w:p>
      <w:pPr>
        <w:pStyle w:val="12"/>
        <w:numPr>
          <w:ilvl w:val="0"/>
          <w:numId w:val="3"/>
        </w:numPr>
        <w:spacing w:before="82" w:line="480" w:lineRule="exact"/>
        <w:ind w:left="119" w:right="204" w:firstLine="482"/>
        <w:jc w:val="both"/>
        <w:rPr>
          <w:rFonts w:ascii="宋体" w:hAnsi="宋体" w:eastAsia="宋体"/>
          <w:highlight w:val="none"/>
        </w:rPr>
        <w:sectPr>
          <w:footerReference r:id="rId4" w:type="default"/>
          <w:pgSz w:w="11910" w:h="16840"/>
          <w:pgMar w:top="1440" w:right="1800" w:bottom="1440" w:left="1800" w:header="720" w:footer="720" w:gutter="0"/>
          <w:pgBorders>
            <w:top w:val="none" w:sz="0" w:space="0"/>
            <w:left w:val="none" w:sz="0" w:space="0"/>
            <w:bottom w:val="none" w:sz="0" w:space="0"/>
            <w:right w:val="none" w:sz="0" w:space="0"/>
          </w:pgBorders>
          <w:pgNumType w:start="1"/>
          <w:cols w:space="720" w:num="1"/>
        </w:sectPr>
      </w:pPr>
      <w:r>
        <w:rPr>
          <w:rFonts w:hint="eastAsia" w:ascii="宋体" w:hAnsi="宋体" w:eastAsia="宋体"/>
          <w:highlight w:val="none"/>
        </w:rPr>
        <w:t>坑塘水面与水库水面：土地在正常市场条件，</w:t>
      </w:r>
      <w:r>
        <w:rPr>
          <w:rFonts w:hint="eastAsia" w:ascii="宋体" w:hAnsi="宋体" w:eastAsia="宋体"/>
          <w:highlight w:val="none"/>
          <w:lang w:val="en-US" w:eastAsia="zh-CN"/>
        </w:rPr>
        <w:t>基准作物设定为</w:t>
      </w:r>
      <w:r>
        <w:rPr>
          <w:rFonts w:hint="eastAsia" w:ascii="宋体" w:hAnsi="宋体" w:eastAsia="宋体"/>
          <w:highlight w:val="none"/>
        </w:rPr>
        <w:t>四大家鱼，宗地外道路通达且有水源保障、宗地内实现通电、有基本的排水与引水设施、形状规则，于估价期日为</w:t>
      </w:r>
      <w:r>
        <w:rPr>
          <w:rFonts w:hint="eastAsia" w:ascii="宋体" w:hAnsi="宋体" w:eastAsia="宋体"/>
          <w:highlight w:val="none"/>
          <w:lang w:val="en-US" w:eastAsia="zh-CN"/>
        </w:rPr>
        <w:t>2022年6月1日，土地使用期限为</w:t>
      </w:r>
      <w:r>
        <w:rPr>
          <w:rFonts w:hint="default" w:ascii="宋体" w:hAnsi="宋体" w:eastAsia="宋体"/>
          <w:highlight w:val="none"/>
          <w:lang w:val="en-US" w:eastAsia="zh-CN"/>
        </w:rPr>
        <w:t>50</w:t>
      </w:r>
      <w:r>
        <w:rPr>
          <w:rFonts w:hint="eastAsia" w:ascii="宋体" w:hAnsi="宋体" w:eastAsia="宋体"/>
          <w:highlight w:val="none"/>
          <w:lang w:val="en-US" w:eastAsia="zh-CN"/>
        </w:rPr>
        <w:t>年的国有农用地使用权价格</w:t>
      </w:r>
      <w:r>
        <w:rPr>
          <w:rFonts w:hint="eastAsia" w:ascii="宋体" w:hAnsi="宋体" w:eastAsia="宋体"/>
          <w:highlight w:val="none"/>
        </w:rPr>
        <w:t>。</w:t>
      </w:r>
    </w:p>
    <w:p>
      <w:pPr>
        <w:pStyle w:val="12"/>
        <w:spacing w:before="3"/>
        <w:rPr>
          <w:rFonts w:asciiTheme="majorEastAsia" w:hAnsiTheme="majorEastAsia" w:eastAsiaTheme="majorEastAsia"/>
          <w:b/>
          <w:bCs/>
          <w:sz w:val="5"/>
          <w:szCs w:val="5"/>
        </w:rPr>
      </w:pPr>
      <w:bookmarkStart w:id="10" w:name="第二章__基准地价成果"/>
      <w:bookmarkEnd w:id="10"/>
      <w:r>
        <w:rPr>
          <w:rFonts w:hint="eastAsia" w:asciiTheme="majorEastAsia" w:hAnsiTheme="majorEastAsia" w:eastAsiaTheme="majorEastAsia"/>
          <w:b/>
          <w:bCs/>
          <w:sz w:val="5"/>
          <w:szCs w:val="5"/>
        </w:rPr>
        <w:t xml:space="preserve"> </w:t>
      </w:r>
    </w:p>
    <w:p>
      <w:pPr>
        <w:pStyle w:val="11"/>
        <w:rPr>
          <w:rFonts w:eastAsia="宋体"/>
        </w:rPr>
      </w:pPr>
      <w:r>
        <w:t>表</w:t>
      </w:r>
      <w:r>
        <w:rPr>
          <w:rFonts w:hint="eastAsia"/>
        </w:rPr>
        <w:t>1 惠阳区</w:t>
      </w:r>
      <w:r>
        <w:rPr>
          <w:rFonts w:hint="eastAsia"/>
          <w:lang w:val="en-US" w:eastAsia="zh-CN"/>
        </w:rPr>
        <w:t>国有</w:t>
      </w:r>
      <w:r>
        <w:rPr>
          <w:rFonts w:hint="eastAsia"/>
        </w:rPr>
        <w:t>农用地基准地价内涵表</w:t>
      </w:r>
    </w:p>
    <w:tbl>
      <w:tblPr>
        <w:tblStyle w:val="19"/>
        <w:tblW w:w="9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2"/>
        <w:gridCol w:w="1190"/>
        <w:gridCol w:w="5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1972" w:type="dxa"/>
            <w:tcBorders>
              <w:top w:val="single" w:color="000000" w:sz="4" w:space="0"/>
              <w:left w:val="single" w:color="000000" w:sz="4" w:space="0"/>
              <w:bottom w:val="single" w:color="000000" w:sz="4" w:space="0"/>
              <w:right w:val="single" w:color="000000" w:sz="4" w:space="0"/>
            </w:tcBorders>
            <w:vAlign w:val="center"/>
          </w:tcPr>
          <w:p>
            <w:pPr>
              <w:pStyle w:val="25"/>
              <w:spacing w:before="89"/>
              <w:ind w:right="259" w:rightChars="0"/>
              <w:rPr>
                <w:rFonts w:hint="eastAsia" w:cs="Times New Roman" w:asciiTheme="majorEastAsia" w:hAnsiTheme="majorEastAsia" w:eastAsiaTheme="majorEastAsia"/>
                <w:b/>
                <w:bCs/>
                <w:kern w:val="0"/>
                <w:sz w:val="21"/>
                <w:szCs w:val="21"/>
                <w:lang w:val="en-US" w:eastAsia="zh-CN" w:bidi="ar-SA"/>
              </w:rPr>
            </w:pPr>
            <w:r>
              <w:rPr>
                <w:rFonts w:hint="eastAsia" w:cs="Times New Roman" w:asciiTheme="majorEastAsia" w:hAnsiTheme="majorEastAsia" w:eastAsiaTheme="majorEastAsia"/>
                <w:b/>
                <w:bCs/>
                <w:sz w:val="21"/>
                <w:szCs w:val="21"/>
                <w:lang w:val="en-US" w:eastAsia="zh-CN"/>
              </w:rPr>
              <w:t>国有</w:t>
            </w:r>
            <w:r>
              <w:rPr>
                <w:rFonts w:hint="eastAsia" w:cs="Times New Roman" w:asciiTheme="majorEastAsia" w:hAnsiTheme="majorEastAsia" w:eastAsiaTheme="majorEastAsia"/>
                <w:b/>
                <w:bCs/>
                <w:sz w:val="21"/>
                <w:szCs w:val="21"/>
              </w:rPr>
              <w:t>农用地类型</w:t>
            </w:r>
          </w:p>
        </w:tc>
        <w:tc>
          <w:tcPr>
            <w:tcW w:w="7187" w:type="dxa"/>
            <w:gridSpan w:val="2"/>
            <w:tcBorders>
              <w:top w:val="single" w:color="000000" w:sz="4" w:space="0"/>
              <w:left w:val="nil"/>
              <w:bottom w:val="single" w:color="000000" w:sz="4" w:space="0"/>
              <w:right w:val="single" w:color="000000" w:sz="4" w:space="0"/>
            </w:tcBorders>
            <w:vAlign w:val="center"/>
          </w:tcPr>
          <w:p>
            <w:pPr>
              <w:pStyle w:val="25"/>
              <w:spacing w:before="87"/>
              <w:jc w:val="center"/>
              <w:rPr>
                <w:rFonts w:hint="eastAsia" w:ascii="宋体" w:hAnsi="宋体" w:eastAsia="宋体"/>
                <w:highlight w:val="none"/>
                <w:lang w:val="en-US" w:eastAsia="zh-CN"/>
              </w:rPr>
            </w:pPr>
            <w:r>
              <w:rPr>
                <w:rFonts w:hint="eastAsia" w:ascii="宋体" w:hAnsi="宋体" w:eastAsia="宋体"/>
                <w:highlight w:val="none"/>
                <w:lang w:val="en-US" w:eastAsia="zh-CN"/>
              </w:rPr>
              <w:t>耕地、园地、林地、坑塘水面与水库水面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972" w:type="dxa"/>
            <w:tcBorders>
              <w:top w:val="single" w:color="000000" w:sz="4" w:space="0"/>
              <w:left w:val="single" w:color="000000" w:sz="4" w:space="0"/>
              <w:right w:val="single" w:color="auto" w:sz="4" w:space="0"/>
            </w:tcBorders>
            <w:vAlign w:val="center"/>
          </w:tcPr>
          <w:p>
            <w:pPr>
              <w:pStyle w:val="25"/>
              <w:spacing w:before="87"/>
              <w:ind w:right="259"/>
              <w:rPr>
                <w:rFonts w:cs="Times New Roman" w:asciiTheme="majorEastAsia" w:hAnsiTheme="majorEastAsia" w:eastAsiaTheme="majorEastAsia"/>
                <w:b/>
                <w:bCs/>
                <w:sz w:val="21"/>
                <w:szCs w:val="21"/>
              </w:rPr>
            </w:pPr>
            <w:r>
              <w:rPr>
                <w:rFonts w:hint="eastAsia" w:cs="Times New Roman" w:asciiTheme="majorEastAsia" w:hAnsiTheme="majorEastAsia" w:eastAsiaTheme="majorEastAsia"/>
                <w:b/>
                <w:bCs/>
                <w:sz w:val="21"/>
                <w:szCs w:val="21"/>
              </w:rPr>
              <w:t>价格类型</w:t>
            </w:r>
          </w:p>
        </w:tc>
        <w:tc>
          <w:tcPr>
            <w:tcW w:w="7187" w:type="dxa"/>
            <w:gridSpan w:val="2"/>
            <w:tcBorders>
              <w:top w:val="single" w:color="000000" w:sz="4" w:space="0"/>
              <w:left w:val="single" w:color="auto" w:sz="4" w:space="0"/>
              <w:bottom w:val="single" w:color="000000" w:sz="4" w:space="0"/>
              <w:right w:val="single" w:color="000000" w:sz="4" w:space="0"/>
            </w:tcBorders>
            <w:vAlign w:val="center"/>
          </w:tcPr>
          <w:p>
            <w:pPr>
              <w:pStyle w:val="25"/>
              <w:spacing w:before="87"/>
              <w:jc w:val="center"/>
              <w:rPr>
                <w:rFonts w:hint="default" w:ascii="宋体" w:hAnsi="宋体" w:eastAsia="宋体"/>
                <w:highlight w:val="none"/>
                <w:lang w:val="en-US" w:eastAsia="zh-CN"/>
              </w:rPr>
            </w:pPr>
            <w:r>
              <w:rPr>
                <w:rFonts w:hint="eastAsia" w:ascii="宋体" w:hAnsi="宋体" w:eastAsia="宋体"/>
                <w:highlight w:val="none"/>
                <w:lang w:val="en-US" w:eastAsia="zh-CN"/>
              </w:rPr>
              <w:t>出让土地使用权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972" w:type="dxa"/>
            <w:tcBorders>
              <w:top w:val="single" w:color="000000" w:sz="4" w:space="0"/>
              <w:left w:val="single" w:color="000000" w:sz="4" w:space="0"/>
              <w:bottom w:val="single" w:color="000000" w:sz="4" w:space="0"/>
              <w:right w:val="single" w:color="auto" w:sz="4" w:space="0"/>
            </w:tcBorders>
            <w:vAlign w:val="center"/>
          </w:tcPr>
          <w:p>
            <w:pPr>
              <w:pStyle w:val="25"/>
              <w:spacing w:before="88"/>
              <w:rPr>
                <w:rFonts w:cs="Times New Roman" w:asciiTheme="majorEastAsia" w:hAnsiTheme="majorEastAsia" w:eastAsiaTheme="majorEastAsia"/>
                <w:b/>
                <w:bCs/>
                <w:sz w:val="21"/>
                <w:szCs w:val="21"/>
              </w:rPr>
            </w:pPr>
            <w:r>
              <w:rPr>
                <w:rFonts w:hint="eastAsia" w:cs="Times New Roman" w:asciiTheme="majorEastAsia" w:hAnsiTheme="majorEastAsia" w:eastAsiaTheme="majorEastAsia"/>
                <w:b/>
                <w:bCs/>
                <w:sz w:val="21"/>
                <w:szCs w:val="21"/>
                <w:lang w:val="en-US" w:eastAsia="zh-CN"/>
              </w:rPr>
              <w:t>土地出让</w:t>
            </w:r>
            <w:r>
              <w:rPr>
                <w:rFonts w:hint="eastAsia" w:cs="Times New Roman" w:asciiTheme="majorEastAsia" w:hAnsiTheme="majorEastAsia" w:eastAsiaTheme="majorEastAsia"/>
                <w:b/>
                <w:bCs/>
                <w:sz w:val="21"/>
                <w:szCs w:val="21"/>
              </w:rPr>
              <w:t>年期</w:t>
            </w:r>
          </w:p>
        </w:tc>
        <w:tc>
          <w:tcPr>
            <w:tcW w:w="7187" w:type="dxa"/>
            <w:gridSpan w:val="2"/>
            <w:tcBorders>
              <w:top w:val="single" w:color="000000" w:sz="4" w:space="0"/>
              <w:left w:val="single" w:color="auto" w:sz="4" w:space="0"/>
              <w:bottom w:val="single" w:color="000000" w:sz="4" w:space="0"/>
              <w:right w:val="single" w:color="000000" w:sz="4" w:space="0"/>
            </w:tcBorders>
            <w:vAlign w:val="center"/>
          </w:tcPr>
          <w:p>
            <w:pPr>
              <w:pStyle w:val="25"/>
              <w:spacing w:before="87"/>
              <w:jc w:val="center"/>
              <w:rPr>
                <w:rFonts w:hint="eastAsia" w:ascii="宋体" w:hAnsi="宋体" w:eastAsia="宋体"/>
                <w:highlight w:val="none"/>
                <w:lang w:val="en-US" w:eastAsia="zh-CN"/>
              </w:rPr>
            </w:pPr>
            <w:r>
              <w:rPr>
                <w:rFonts w:hint="eastAsia" w:ascii="宋体" w:hAnsi="宋体" w:eastAsia="宋体"/>
                <w:highlight w:val="none"/>
                <w:lang w:val="en-US" w:eastAsia="zh-CN"/>
              </w:rPr>
              <w:t>50年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jc w:val="center"/>
        </w:trPr>
        <w:tc>
          <w:tcPr>
            <w:tcW w:w="1972" w:type="dxa"/>
            <w:vMerge w:val="restart"/>
            <w:tcBorders>
              <w:top w:val="nil"/>
              <w:left w:val="single" w:color="000000" w:sz="4" w:space="0"/>
              <w:bottom w:val="single" w:color="000000" w:sz="4" w:space="0"/>
              <w:right w:val="single" w:color="auto" w:sz="4" w:space="0"/>
            </w:tcBorders>
            <w:vAlign w:val="center"/>
          </w:tcPr>
          <w:p>
            <w:pPr>
              <w:pStyle w:val="25"/>
              <w:rPr>
                <w:rFonts w:cs="Times New Roman" w:asciiTheme="majorEastAsia" w:hAnsiTheme="majorEastAsia" w:eastAsiaTheme="majorEastAsia"/>
                <w:b/>
                <w:bCs/>
                <w:sz w:val="21"/>
                <w:szCs w:val="21"/>
              </w:rPr>
            </w:pPr>
            <w:r>
              <w:rPr>
                <w:rFonts w:hint="eastAsia" w:cs="Times New Roman" w:asciiTheme="majorEastAsia" w:hAnsiTheme="majorEastAsia" w:eastAsiaTheme="majorEastAsia"/>
                <w:b/>
                <w:bCs/>
                <w:sz w:val="21"/>
                <w:szCs w:val="21"/>
              </w:rPr>
              <w:t>基本设施状况</w:t>
            </w:r>
          </w:p>
        </w:tc>
        <w:tc>
          <w:tcPr>
            <w:tcW w:w="1190" w:type="dxa"/>
            <w:tcBorders>
              <w:top w:val="single" w:color="000000" w:sz="4" w:space="0"/>
              <w:left w:val="single" w:color="auto" w:sz="4" w:space="0"/>
              <w:bottom w:val="single" w:color="000000" w:sz="4" w:space="0"/>
              <w:right w:val="single" w:color="000000" w:sz="4" w:space="0"/>
            </w:tcBorders>
            <w:vAlign w:val="center"/>
          </w:tcPr>
          <w:p>
            <w:pPr>
              <w:pStyle w:val="25"/>
              <w:spacing w:before="87"/>
              <w:rPr>
                <w:rFonts w:cs="Times New Roman" w:asciiTheme="majorEastAsia" w:hAnsiTheme="majorEastAsia" w:eastAsiaTheme="majorEastAsia"/>
                <w:sz w:val="21"/>
                <w:szCs w:val="21"/>
              </w:rPr>
            </w:pPr>
            <w:r>
              <w:rPr>
                <w:rFonts w:hint="eastAsia" w:cs="Times New Roman" w:asciiTheme="majorEastAsia" w:hAnsiTheme="majorEastAsia" w:eastAsiaTheme="majorEastAsia"/>
                <w:sz w:val="21"/>
                <w:szCs w:val="21"/>
              </w:rPr>
              <w:t>耕地</w:t>
            </w:r>
          </w:p>
        </w:tc>
        <w:tc>
          <w:tcPr>
            <w:tcW w:w="5997" w:type="dxa"/>
            <w:tcBorders>
              <w:top w:val="single" w:color="000000" w:sz="4" w:space="0"/>
              <w:left w:val="nil"/>
              <w:bottom w:val="single" w:color="000000" w:sz="4" w:space="0"/>
              <w:right w:val="single" w:color="000000" w:sz="4" w:space="0"/>
            </w:tcBorders>
            <w:vAlign w:val="center"/>
          </w:tcPr>
          <w:p>
            <w:pPr>
              <w:pStyle w:val="25"/>
              <w:spacing w:before="87"/>
              <w:jc w:val="left"/>
              <w:rPr>
                <w:rFonts w:hint="eastAsia" w:ascii="宋体" w:hAnsi="宋体" w:eastAsia="宋体"/>
                <w:highlight w:val="none"/>
                <w:lang w:val="en-US" w:eastAsia="zh-CN"/>
              </w:rPr>
            </w:pPr>
            <w:r>
              <w:rPr>
                <w:rFonts w:hint="eastAsia" w:ascii="宋体" w:hAnsi="宋体" w:eastAsia="宋体"/>
                <w:highlight w:val="none"/>
                <w:lang w:val="en-US" w:eastAsia="zh-CN"/>
              </w:rPr>
              <w:t>耕地（水田）：土地在正常市场条件，耕作制度为两年五熟（“早稻</w:t>
            </w:r>
            <w:r>
              <w:rPr>
                <w:rFonts w:hint="default" w:ascii="宋体" w:hAnsi="宋体" w:eastAsia="宋体"/>
                <w:highlight w:val="none"/>
                <w:lang w:val="en-US" w:eastAsia="zh-CN"/>
              </w:rPr>
              <w:t>-</w:t>
            </w:r>
            <w:r>
              <w:rPr>
                <w:rFonts w:hint="eastAsia" w:ascii="宋体" w:hAnsi="宋体" w:eastAsia="宋体"/>
                <w:highlight w:val="none"/>
                <w:lang w:val="en-US" w:eastAsia="zh-CN"/>
              </w:rPr>
              <w:t>晚稻</w:t>
            </w:r>
            <w:r>
              <w:rPr>
                <w:rFonts w:hint="default" w:ascii="宋体" w:hAnsi="宋体" w:eastAsia="宋体"/>
                <w:highlight w:val="none"/>
                <w:lang w:val="en-US" w:eastAsia="zh-CN"/>
              </w:rPr>
              <w:t>-</w:t>
            </w:r>
            <w:r>
              <w:rPr>
                <w:rFonts w:hint="eastAsia" w:ascii="宋体" w:hAnsi="宋体" w:eastAsia="宋体"/>
                <w:highlight w:val="none"/>
                <w:lang w:val="en-US" w:eastAsia="zh-CN"/>
              </w:rPr>
              <w:t>甘薯-早稻</w:t>
            </w:r>
            <w:r>
              <w:rPr>
                <w:rFonts w:hint="default" w:ascii="宋体" w:hAnsi="宋体" w:eastAsia="宋体"/>
                <w:highlight w:val="none"/>
                <w:lang w:val="en-US" w:eastAsia="zh-CN"/>
              </w:rPr>
              <w:t>-</w:t>
            </w:r>
            <w:r>
              <w:rPr>
                <w:rFonts w:hint="eastAsia" w:ascii="宋体" w:hAnsi="宋体" w:eastAsia="宋体"/>
                <w:highlight w:val="none"/>
                <w:lang w:val="en-US" w:eastAsia="zh-CN"/>
              </w:rPr>
              <w:t>晚稻”），基准作物设定为早稻、晚稻、甘薯，宗地外道路通达且有水源保障、宗地内平整、形状规则、有基本的排水与灌溉设施且田间道路密度适中；</w:t>
            </w:r>
          </w:p>
          <w:p>
            <w:pPr>
              <w:pStyle w:val="25"/>
              <w:spacing w:before="87"/>
              <w:jc w:val="left"/>
              <w:rPr>
                <w:rFonts w:hint="default" w:cs="Times New Roman" w:asciiTheme="majorEastAsia" w:hAnsiTheme="majorEastAsia" w:eastAsiaTheme="majorEastAsia"/>
                <w:sz w:val="21"/>
                <w:szCs w:val="21"/>
                <w:lang w:val="en-US"/>
              </w:rPr>
            </w:pPr>
            <w:r>
              <w:rPr>
                <w:rFonts w:hint="eastAsia" w:ascii="宋体" w:hAnsi="宋体" w:eastAsia="宋体"/>
                <w:highlight w:val="none"/>
                <w:lang w:val="en-US" w:eastAsia="zh-CN"/>
              </w:rPr>
              <w:t>耕地（旱地）：土地在正常市场条件，耕作制度为一年两熟（“春花生</w:t>
            </w:r>
            <w:r>
              <w:rPr>
                <w:rFonts w:hint="default" w:ascii="宋体" w:hAnsi="宋体" w:eastAsia="宋体"/>
                <w:highlight w:val="none"/>
                <w:lang w:val="en-US" w:eastAsia="zh-CN"/>
              </w:rPr>
              <w:t>-</w:t>
            </w:r>
            <w:r>
              <w:rPr>
                <w:rFonts w:hint="eastAsia" w:ascii="宋体" w:hAnsi="宋体" w:eastAsia="宋体"/>
                <w:highlight w:val="none"/>
                <w:lang w:val="en-US" w:eastAsia="zh-CN"/>
              </w:rPr>
              <w:t>秋甘薯”），基准作物设定为花生、甘薯，宗地外道路通达且有水源保障、宗地内平整、形状规则、有基本的排水与灌溉设施且田间道路密度适中，于估价期日 2022年6月1日，土地使用期限为</w:t>
            </w:r>
            <w:r>
              <w:rPr>
                <w:rFonts w:hint="default" w:ascii="宋体" w:hAnsi="宋体" w:eastAsia="宋体"/>
                <w:highlight w:val="none"/>
                <w:lang w:val="en-US" w:eastAsia="zh-CN"/>
              </w:rPr>
              <w:t>50</w:t>
            </w:r>
            <w:r>
              <w:rPr>
                <w:rFonts w:hint="eastAsia" w:ascii="宋体" w:hAnsi="宋体" w:eastAsia="宋体"/>
                <w:highlight w:val="none"/>
                <w:lang w:val="en-US" w:eastAsia="zh-CN"/>
              </w:rPr>
              <w:t xml:space="preserve">年的国有农用地使用权价格。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972" w:type="dxa"/>
            <w:vMerge w:val="continue"/>
            <w:tcBorders>
              <w:top w:val="nil"/>
              <w:left w:val="single" w:color="000000" w:sz="4" w:space="0"/>
              <w:bottom w:val="single" w:color="000000" w:sz="4" w:space="0"/>
              <w:right w:val="single" w:color="auto" w:sz="4" w:space="0"/>
            </w:tcBorders>
            <w:vAlign w:val="center"/>
          </w:tcPr>
          <w:p>
            <w:pPr>
              <w:widowControl/>
              <w:jc w:val="center"/>
              <w:rPr>
                <w:rFonts w:cs="Times New Roman" w:asciiTheme="majorEastAsia" w:hAnsiTheme="majorEastAsia" w:eastAsiaTheme="majorEastAsia"/>
                <w:b/>
                <w:bCs/>
                <w:szCs w:val="21"/>
              </w:rPr>
            </w:pPr>
          </w:p>
        </w:tc>
        <w:tc>
          <w:tcPr>
            <w:tcW w:w="1190" w:type="dxa"/>
            <w:tcBorders>
              <w:top w:val="single" w:color="000000" w:sz="4" w:space="0"/>
              <w:left w:val="single" w:color="auto" w:sz="4" w:space="0"/>
              <w:bottom w:val="single" w:color="000000" w:sz="4" w:space="0"/>
              <w:right w:val="single" w:color="000000" w:sz="4" w:space="0"/>
            </w:tcBorders>
            <w:vAlign w:val="center"/>
          </w:tcPr>
          <w:p>
            <w:pPr>
              <w:pStyle w:val="25"/>
              <w:spacing w:before="87"/>
              <w:rPr>
                <w:rFonts w:cs="Times New Roman" w:asciiTheme="majorEastAsia" w:hAnsiTheme="majorEastAsia" w:eastAsiaTheme="majorEastAsia"/>
                <w:sz w:val="21"/>
                <w:szCs w:val="21"/>
              </w:rPr>
            </w:pPr>
            <w:r>
              <w:rPr>
                <w:rFonts w:hint="eastAsia" w:cs="Times New Roman" w:asciiTheme="majorEastAsia" w:hAnsiTheme="majorEastAsia" w:eastAsiaTheme="majorEastAsia"/>
                <w:sz w:val="21"/>
                <w:szCs w:val="21"/>
              </w:rPr>
              <w:t>园地</w:t>
            </w:r>
          </w:p>
        </w:tc>
        <w:tc>
          <w:tcPr>
            <w:tcW w:w="5997" w:type="dxa"/>
            <w:tcBorders>
              <w:top w:val="single" w:color="000000" w:sz="4" w:space="0"/>
              <w:left w:val="nil"/>
              <w:bottom w:val="single" w:color="000000" w:sz="4" w:space="0"/>
              <w:right w:val="single" w:color="000000" w:sz="4" w:space="0"/>
            </w:tcBorders>
            <w:vAlign w:val="center"/>
          </w:tcPr>
          <w:p>
            <w:pPr>
              <w:pStyle w:val="25"/>
              <w:spacing w:before="87"/>
              <w:jc w:val="left"/>
              <w:rPr>
                <w:rFonts w:cs="Times New Roman" w:asciiTheme="majorEastAsia" w:hAnsiTheme="majorEastAsia" w:eastAsiaTheme="majorEastAsia"/>
                <w:sz w:val="21"/>
                <w:szCs w:val="21"/>
              </w:rPr>
            </w:pPr>
            <w:r>
              <w:rPr>
                <w:rFonts w:hint="eastAsia" w:ascii="宋体" w:hAnsi="宋体" w:eastAsia="宋体"/>
                <w:highlight w:val="none"/>
                <w:lang w:val="en-US" w:eastAsia="zh-CN"/>
              </w:rPr>
              <w:t>土地在正常市场条件，基准作物设定为荔枝、龙眼，宗地外道路通达且有水源保障、大小适中、宗地内有基本的排水与灌溉设施</w:t>
            </w:r>
            <w:r>
              <w:rPr>
                <w:rFonts w:hint="eastAsia" w:cs="Times New Roman" w:asciiTheme="majorEastAsia" w:hAnsiTheme="majorEastAsia" w:eastAsiaTheme="maj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jc w:val="center"/>
        </w:trPr>
        <w:tc>
          <w:tcPr>
            <w:tcW w:w="1972" w:type="dxa"/>
            <w:vMerge w:val="continue"/>
            <w:tcBorders>
              <w:top w:val="nil"/>
              <w:left w:val="single" w:color="000000" w:sz="4" w:space="0"/>
              <w:bottom w:val="single" w:color="000000" w:sz="4" w:space="0"/>
              <w:right w:val="single" w:color="auto" w:sz="4" w:space="0"/>
            </w:tcBorders>
            <w:vAlign w:val="center"/>
          </w:tcPr>
          <w:p>
            <w:pPr>
              <w:widowControl/>
              <w:jc w:val="center"/>
              <w:rPr>
                <w:rFonts w:cs="Times New Roman" w:asciiTheme="majorEastAsia" w:hAnsiTheme="majorEastAsia" w:eastAsiaTheme="majorEastAsia"/>
                <w:b/>
                <w:bCs/>
                <w:szCs w:val="21"/>
              </w:rPr>
            </w:pPr>
          </w:p>
        </w:tc>
        <w:tc>
          <w:tcPr>
            <w:tcW w:w="1190" w:type="dxa"/>
            <w:tcBorders>
              <w:top w:val="single" w:color="000000" w:sz="4" w:space="0"/>
              <w:left w:val="single" w:color="auto" w:sz="4" w:space="0"/>
              <w:bottom w:val="single" w:color="000000" w:sz="4" w:space="0"/>
              <w:right w:val="single" w:color="000000" w:sz="4" w:space="0"/>
            </w:tcBorders>
            <w:vAlign w:val="center"/>
          </w:tcPr>
          <w:p>
            <w:pPr>
              <w:pStyle w:val="25"/>
              <w:spacing w:before="87"/>
              <w:rPr>
                <w:rFonts w:cs="Times New Roman" w:asciiTheme="majorEastAsia" w:hAnsiTheme="majorEastAsia" w:eastAsiaTheme="majorEastAsia"/>
                <w:sz w:val="21"/>
                <w:szCs w:val="21"/>
              </w:rPr>
            </w:pPr>
            <w:r>
              <w:rPr>
                <w:rFonts w:hint="eastAsia" w:cs="Times New Roman" w:asciiTheme="majorEastAsia" w:hAnsiTheme="majorEastAsia" w:eastAsiaTheme="majorEastAsia"/>
                <w:sz w:val="21"/>
                <w:szCs w:val="21"/>
              </w:rPr>
              <w:t>林地</w:t>
            </w:r>
          </w:p>
        </w:tc>
        <w:tc>
          <w:tcPr>
            <w:tcW w:w="5997" w:type="dxa"/>
            <w:tcBorders>
              <w:top w:val="single" w:color="000000" w:sz="4" w:space="0"/>
              <w:left w:val="nil"/>
              <w:bottom w:val="single" w:color="000000" w:sz="4" w:space="0"/>
              <w:right w:val="single" w:color="000000" w:sz="4" w:space="0"/>
            </w:tcBorders>
            <w:vAlign w:val="center"/>
          </w:tcPr>
          <w:p>
            <w:pPr>
              <w:pStyle w:val="25"/>
              <w:spacing w:before="87"/>
              <w:jc w:val="left"/>
              <w:rPr>
                <w:rFonts w:cs="Times New Roman" w:asciiTheme="majorEastAsia" w:hAnsiTheme="majorEastAsia" w:eastAsiaTheme="majorEastAsia"/>
                <w:sz w:val="21"/>
                <w:szCs w:val="21"/>
              </w:rPr>
            </w:pPr>
            <w:r>
              <w:rPr>
                <w:rFonts w:hint="eastAsia" w:ascii="宋体" w:hAnsi="宋体" w:eastAsia="宋体"/>
                <w:highlight w:val="none"/>
              </w:rPr>
              <w:t>土地在正常市场</w:t>
            </w:r>
            <w:r>
              <w:rPr>
                <w:rFonts w:hint="eastAsia" w:ascii="宋体" w:hAnsi="宋体" w:eastAsia="宋体"/>
                <w:highlight w:val="none"/>
                <w:lang w:val="en-US" w:eastAsia="zh-CN"/>
              </w:rPr>
              <w:t>条件，基准作物设定为桉树、松树、杉树，宗地外</w:t>
            </w:r>
            <w:r>
              <w:rPr>
                <w:rFonts w:hint="eastAsia" w:ascii="宋体" w:hAnsi="宋体" w:eastAsia="宋体"/>
                <w:highlight w:val="none"/>
              </w:rPr>
              <w:t>道路通达</w:t>
            </w:r>
            <w:r>
              <w:rPr>
                <w:rFonts w:hint="eastAsia" w:cs="Times New Roman" w:asciiTheme="majorEastAsia" w:hAnsiTheme="majorEastAsia" w:eastAsiaTheme="maj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jc w:val="center"/>
        </w:trPr>
        <w:tc>
          <w:tcPr>
            <w:tcW w:w="1972" w:type="dxa"/>
            <w:vMerge w:val="continue"/>
            <w:tcBorders>
              <w:top w:val="nil"/>
              <w:left w:val="single" w:color="000000" w:sz="4" w:space="0"/>
              <w:bottom w:val="single" w:color="000000" w:sz="4" w:space="0"/>
              <w:right w:val="single" w:color="auto" w:sz="4" w:space="0"/>
            </w:tcBorders>
            <w:vAlign w:val="center"/>
          </w:tcPr>
          <w:p>
            <w:pPr>
              <w:widowControl/>
              <w:jc w:val="center"/>
              <w:rPr>
                <w:rFonts w:cs="Times New Roman" w:asciiTheme="majorEastAsia" w:hAnsiTheme="majorEastAsia" w:eastAsiaTheme="majorEastAsia"/>
                <w:b/>
                <w:bCs/>
                <w:szCs w:val="21"/>
              </w:rPr>
            </w:pPr>
          </w:p>
        </w:tc>
        <w:tc>
          <w:tcPr>
            <w:tcW w:w="1190" w:type="dxa"/>
            <w:tcBorders>
              <w:top w:val="single" w:color="000000" w:sz="4" w:space="0"/>
              <w:left w:val="single" w:color="auto" w:sz="4" w:space="0"/>
              <w:bottom w:val="single" w:color="000000" w:sz="4" w:space="0"/>
              <w:right w:val="single" w:color="000000" w:sz="4" w:space="0"/>
            </w:tcBorders>
            <w:vAlign w:val="center"/>
          </w:tcPr>
          <w:p>
            <w:pPr>
              <w:pStyle w:val="25"/>
              <w:spacing w:before="87"/>
              <w:rPr>
                <w:rFonts w:hint="eastAsia" w:cs="Times New Roman" w:asciiTheme="majorEastAsia" w:hAnsiTheme="majorEastAsia" w:eastAsiaTheme="majorEastAsia"/>
                <w:sz w:val="21"/>
                <w:szCs w:val="21"/>
                <w:lang w:eastAsia="zh-CN"/>
              </w:rPr>
            </w:pPr>
            <w:r>
              <w:rPr>
                <w:rFonts w:hint="eastAsia" w:cs="Times New Roman" w:asciiTheme="majorEastAsia" w:hAnsiTheme="majorEastAsia" w:eastAsiaTheme="majorEastAsia"/>
                <w:sz w:val="21"/>
                <w:szCs w:val="21"/>
              </w:rPr>
              <w:t>坑塘水面</w:t>
            </w:r>
            <w:r>
              <w:rPr>
                <w:rFonts w:hint="eastAsia" w:cs="Times New Roman" w:asciiTheme="majorEastAsia" w:hAnsiTheme="majorEastAsia" w:eastAsiaTheme="majorEastAsia"/>
                <w:sz w:val="21"/>
                <w:szCs w:val="21"/>
                <w:lang w:eastAsia="zh-CN"/>
              </w:rPr>
              <w:t>与水库水面</w:t>
            </w:r>
          </w:p>
        </w:tc>
        <w:tc>
          <w:tcPr>
            <w:tcW w:w="5997" w:type="dxa"/>
            <w:tcBorders>
              <w:top w:val="single" w:color="000000" w:sz="4" w:space="0"/>
              <w:left w:val="nil"/>
              <w:bottom w:val="single" w:color="000000" w:sz="4" w:space="0"/>
              <w:right w:val="single" w:color="000000" w:sz="4" w:space="0"/>
            </w:tcBorders>
            <w:vAlign w:val="center"/>
          </w:tcPr>
          <w:p>
            <w:pPr>
              <w:pStyle w:val="25"/>
              <w:spacing w:before="87"/>
              <w:jc w:val="left"/>
              <w:rPr>
                <w:rFonts w:cs="Times New Roman" w:asciiTheme="majorEastAsia" w:hAnsiTheme="majorEastAsia" w:eastAsiaTheme="majorEastAsia"/>
                <w:sz w:val="21"/>
                <w:szCs w:val="21"/>
              </w:rPr>
            </w:pPr>
            <w:r>
              <w:rPr>
                <w:rFonts w:hint="eastAsia" w:ascii="宋体" w:hAnsi="宋体" w:eastAsia="宋体"/>
                <w:highlight w:val="none"/>
              </w:rPr>
              <w:t>土地在正常市场条件，</w:t>
            </w:r>
            <w:r>
              <w:rPr>
                <w:rFonts w:hint="eastAsia" w:ascii="宋体" w:hAnsi="宋体" w:eastAsia="宋体"/>
                <w:highlight w:val="none"/>
                <w:lang w:val="en-US" w:eastAsia="zh-CN"/>
              </w:rPr>
              <w:t>基准作物设定为</w:t>
            </w:r>
            <w:r>
              <w:rPr>
                <w:rFonts w:hint="eastAsia" w:ascii="宋体" w:hAnsi="宋体" w:eastAsia="宋体"/>
                <w:highlight w:val="none"/>
              </w:rPr>
              <w:t>四大家鱼，宗地外道路通达且有水源保障、宗地内实现通电、有基本的排水与引水设施、形状规则</w:t>
            </w:r>
            <w:r>
              <w:rPr>
                <w:rFonts w:hint="eastAsia" w:cs="Times New Roman" w:asciiTheme="majorEastAsia" w:hAnsiTheme="majorEastAsia" w:eastAsiaTheme="maj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1972" w:type="dxa"/>
            <w:tcBorders>
              <w:top w:val="nil"/>
              <w:left w:val="single" w:color="000000" w:sz="4" w:space="0"/>
              <w:bottom w:val="single" w:color="000000" w:sz="4" w:space="0"/>
              <w:right w:val="single" w:color="auto" w:sz="4" w:space="0"/>
            </w:tcBorders>
            <w:vAlign w:val="center"/>
          </w:tcPr>
          <w:p>
            <w:pPr>
              <w:widowControl/>
              <w:jc w:val="center"/>
              <w:rPr>
                <w:rFonts w:cs="Times New Roman" w:asciiTheme="majorEastAsia" w:hAnsiTheme="majorEastAsia" w:eastAsiaTheme="majorEastAsia"/>
                <w:b/>
                <w:bCs/>
                <w:szCs w:val="21"/>
              </w:rPr>
            </w:pPr>
            <w:r>
              <w:rPr>
                <w:rFonts w:hint="eastAsia" w:cs="Times New Roman" w:asciiTheme="majorEastAsia" w:hAnsiTheme="majorEastAsia" w:eastAsiaTheme="majorEastAsia"/>
                <w:b/>
                <w:bCs/>
                <w:szCs w:val="21"/>
              </w:rPr>
              <w:t>估价期日</w:t>
            </w:r>
          </w:p>
        </w:tc>
        <w:tc>
          <w:tcPr>
            <w:tcW w:w="7187" w:type="dxa"/>
            <w:gridSpan w:val="2"/>
            <w:tcBorders>
              <w:top w:val="single" w:color="000000" w:sz="4" w:space="0"/>
              <w:left w:val="single" w:color="auto" w:sz="4" w:space="0"/>
              <w:bottom w:val="single" w:color="000000" w:sz="4" w:space="0"/>
              <w:right w:val="single" w:color="000000" w:sz="4" w:space="0"/>
            </w:tcBorders>
            <w:vAlign w:val="center"/>
          </w:tcPr>
          <w:p>
            <w:pPr>
              <w:pStyle w:val="25"/>
              <w:spacing w:before="87"/>
              <w:jc w:val="center"/>
              <w:rPr>
                <w:rFonts w:hint="eastAsia"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2</w:t>
            </w:r>
            <w:r>
              <w:rPr>
                <w:rFonts w:hint="eastAsia" w:ascii="宋体" w:hAnsi="宋体" w:eastAsia="宋体"/>
                <w:highlight w:val="none"/>
              </w:rPr>
              <w:t>年</w:t>
            </w:r>
            <w:r>
              <w:rPr>
                <w:rFonts w:hint="eastAsia" w:ascii="宋体" w:hAnsi="宋体" w:eastAsia="宋体"/>
                <w:highlight w:val="none"/>
                <w:lang w:val="en-US" w:eastAsia="zh-CN"/>
              </w:rPr>
              <w:t>6</w:t>
            </w:r>
            <w:r>
              <w:rPr>
                <w:rFonts w:hint="eastAsia" w:ascii="宋体" w:hAnsi="宋体" w:eastAsia="宋体"/>
                <w:highlight w:val="none"/>
              </w:rPr>
              <w:t>月1日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972" w:type="dxa"/>
            <w:tcBorders>
              <w:top w:val="nil"/>
              <w:left w:val="single" w:color="000000" w:sz="4" w:space="0"/>
              <w:bottom w:val="single" w:color="000000" w:sz="4" w:space="0"/>
              <w:right w:val="single" w:color="auto" w:sz="4" w:space="0"/>
            </w:tcBorders>
            <w:vAlign w:val="center"/>
          </w:tcPr>
          <w:p>
            <w:pPr>
              <w:widowControl/>
              <w:jc w:val="center"/>
              <w:rPr>
                <w:rFonts w:cs="Times New Roman" w:asciiTheme="majorEastAsia" w:hAnsiTheme="majorEastAsia" w:eastAsiaTheme="majorEastAsia"/>
                <w:b/>
                <w:bCs/>
                <w:szCs w:val="21"/>
              </w:rPr>
            </w:pPr>
            <w:r>
              <w:rPr>
                <w:rFonts w:hint="eastAsia" w:cs="Times New Roman" w:asciiTheme="majorEastAsia" w:hAnsiTheme="majorEastAsia" w:eastAsiaTheme="majorEastAsia"/>
                <w:b/>
                <w:bCs/>
                <w:szCs w:val="21"/>
              </w:rPr>
              <w:t>地</w:t>
            </w:r>
            <w:r>
              <w:rPr>
                <w:rFonts w:cs="Times New Roman" w:asciiTheme="majorEastAsia" w:hAnsiTheme="majorEastAsia" w:eastAsiaTheme="majorEastAsia"/>
                <w:b/>
                <w:bCs/>
                <w:szCs w:val="21"/>
              </w:rPr>
              <w:t>级</w:t>
            </w:r>
            <w:r>
              <w:rPr>
                <w:rFonts w:hint="eastAsia" w:cs="Times New Roman" w:asciiTheme="majorEastAsia" w:hAnsiTheme="majorEastAsia" w:eastAsiaTheme="majorEastAsia"/>
                <w:b/>
                <w:bCs/>
                <w:szCs w:val="21"/>
              </w:rPr>
              <w:t>表现形式</w:t>
            </w:r>
          </w:p>
        </w:tc>
        <w:tc>
          <w:tcPr>
            <w:tcW w:w="7187" w:type="dxa"/>
            <w:gridSpan w:val="2"/>
            <w:tcBorders>
              <w:top w:val="single" w:color="000000" w:sz="4" w:space="0"/>
              <w:left w:val="single" w:color="auto" w:sz="4" w:space="0"/>
              <w:bottom w:val="single" w:color="000000" w:sz="4" w:space="0"/>
              <w:right w:val="single" w:color="000000" w:sz="4" w:space="0"/>
            </w:tcBorders>
            <w:vAlign w:val="center"/>
          </w:tcPr>
          <w:p>
            <w:pPr>
              <w:pStyle w:val="25"/>
              <w:spacing w:before="87"/>
              <w:jc w:val="center"/>
              <w:rPr>
                <w:rFonts w:hint="eastAsia" w:ascii="宋体" w:hAnsi="宋体" w:eastAsia="宋体"/>
                <w:highlight w:val="none"/>
              </w:rPr>
            </w:pPr>
            <w:r>
              <w:rPr>
                <w:rFonts w:hint="eastAsia" w:ascii="宋体" w:hAnsi="宋体" w:eastAsia="宋体"/>
                <w:highlight w:val="none"/>
              </w:rPr>
              <w:t>级别价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1972" w:type="dxa"/>
            <w:tcBorders>
              <w:top w:val="nil"/>
              <w:left w:val="single" w:color="000000" w:sz="4" w:space="0"/>
              <w:bottom w:val="single" w:color="000000" w:sz="4" w:space="0"/>
              <w:right w:val="single" w:color="auto" w:sz="4" w:space="0"/>
            </w:tcBorders>
            <w:vAlign w:val="center"/>
          </w:tcPr>
          <w:p>
            <w:pPr>
              <w:widowControl/>
              <w:jc w:val="center"/>
              <w:rPr>
                <w:rFonts w:cs="Times New Roman" w:asciiTheme="majorEastAsia" w:hAnsiTheme="majorEastAsia" w:eastAsiaTheme="majorEastAsia"/>
                <w:b/>
                <w:bCs/>
                <w:szCs w:val="21"/>
              </w:rPr>
            </w:pPr>
            <w:r>
              <w:rPr>
                <w:rFonts w:hint="eastAsia" w:cs="Times New Roman" w:asciiTheme="majorEastAsia" w:hAnsiTheme="majorEastAsia" w:eastAsiaTheme="majorEastAsia"/>
                <w:b/>
                <w:bCs/>
                <w:szCs w:val="21"/>
              </w:rPr>
              <w:t>地价</w:t>
            </w:r>
            <w:r>
              <w:rPr>
                <w:rFonts w:cs="Times New Roman" w:asciiTheme="majorEastAsia" w:hAnsiTheme="majorEastAsia" w:eastAsiaTheme="majorEastAsia"/>
                <w:b/>
                <w:bCs/>
                <w:szCs w:val="21"/>
              </w:rPr>
              <w:t>表达</w:t>
            </w:r>
            <w:r>
              <w:rPr>
                <w:rFonts w:hint="eastAsia" w:cs="Times New Roman" w:asciiTheme="majorEastAsia" w:hAnsiTheme="majorEastAsia" w:eastAsiaTheme="majorEastAsia"/>
                <w:b/>
                <w:bCs/>
                <w:szCs w:val="21"/>
              </w:rPr>
              <w:t>形式</w:t>
            </w:r>
          </w:p>
        </w:tc>
        <w:tc>
          <w:tcPr>
            <w:tcW w:w="7187" w:type="dxa"/>
            <w:gridSpan w:val="2"/>
            <w:tcBorders>
              <w:top w:val="single" w:color="000000" w:sz="4" w:space="0"/>
              <w:left w:val="single" w:color="auto" w:sz="4" w:space="0"/>
              <w:bottom w:val="single" w:color="000000" w:sz="4" w:space="0"/>
              <w:right w:val="single" w:color="000000" w:sz="4" w:space="0"/>
            </w:tcBorders>
            <w:vAlign w:val="center"/>
          </w:tcPr>
          <w:p>
            <w:pPr>
              <w:pStyle w:val="25"/>
              <w:spacing w:before="87"/>
              <w:jc w:val="center"/>
              <w:rPr>
                <w:rFonts w:hint="eastAsia" w:ascii="宋体" w:hAnsi="宋体" w:eastAsia="宋体"/>
                <w:highlight w:val="none"/>
              </w:rPr>
            </w:pPr>
            <w:r>
              <w:rPr>
                <w:rFonts w:hint="eastAsia" w:ascii="宋体" w:hAnsi="宋体" w:eastAsia="宋体"/>
                <w:highlight w:val="none"/>
              </w:rPr>
              <w:t>平均地面价</w:t>
            </w:r>
          </w:p>
        </w:tc>
      </w:tr>
    </w:tbl>
    <w:p>
      <w:pPr>
        <w:ind w:left="441" w:right="459"/>
        <w:rPr>
          <w:rFonts w:cs="宋体" w:asciiTheme="majorEastAsia" w:hAnsiTheme="majorEastAsia" w:eastAsiaTheme="majorEastAsia"/>
          <w:sz w:val="18"/>
          <w:szCs w:val="18"/>
        </w:rPr>
      </w:pPr>
    </w:p>
    <w:p>
      <w:pPr>
        <w:pStyle w:val="2"/>
        <w:tabs>
          <w:tab w:val="left" w:pos="1284"/>
        </w:tabs>
        <w:rPr>
          <w:rFonts w:ascii="黑体" w:eastAsia="黑体"/>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numPr>
          <w:ilvl w:val="0"/>
          <w:numId w:val="2"/>
        </w:numPr>
        <w:sectPr>
          <w:type w:val="continuous"/>
          <w:pgSz w:w="11906" w:h="16838"/>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bookmarkStart w:id="11" w:name="_Toc30483"/>
      <w:bookmarkStart w:id="12" w:name="_Toc8024"/>
    </w:p>
    <w:p>
      <w:pPr>
        <w:pStyle w:val="2"/>
        <w:numPr>
          <w:ilvl w:val="0"/>
          <w:numId w:val="2"/>
        </w:numPr>
      </w:pPr>
      <w:bookmarkStart w:id="13" w:name="_Toc30534"/>
      <w:r>
        <w:rPr>
          <w:rFonts w:hint="eastAsia"/>
        </w:rPr>
        <w:t>惠阳区</w:t>
      </w:r>
      <w:r>
        <w:rPr>
          <w:rFonts w:hint="eastAsia"/>
          <w:lang w:val="en-US" w:eastAsia="zh-CN"/>
        </w:rPr>
        <w:t>国有</w:t>
      </w:r>
      <w:r>
        <w:rPr>
          <w:rFonts w:hint="eastAsia"/>
        </w:rPr>
        <w:t>农用地基准地价成果</w:t>
      </w:r>
      <w:bookmarkEnd w:id="11"/>
      <w:bookmarkEnd w:id="12"/>
      <w:bookmarkEnd w:id="13"/>
    </w:p>
    <w:p>
      <w:pPr>
        <w:pStyle w:val="11"/>
        <w:rPr>
          <w:rFonts w:hint="eastAsia"/>
        </w:rPr>
      </w:pPr>
      <w:bookmarkStart w:id="14" w:name="_bookmark4"/>
      <w:bookmarkEnd w:id="14"/>
      <w:bookmarkStart w:id="15" w:name="一、江门市市区集体农用地各级别土地承包经营权地价成果"/>
      <w:bookmarkEnd w:id="15"/>
      <w:r>
        <w:t>表</w:t>
      </w:r>
      <w:r>
        <w:rPr>
          <w:rFonts w:hint="eastAsia"/>
        </w:rPr>
        <w:t>2 惠阳区</w:t>
      </w:r>
      <w:r>
        <w:rPr>
          <w:rFonts w:hint="eastAsia"/>
          <w:lang w:val="en-US" w:eastAsia="zh-CN"/>
        </w:rPr>
        <w:t>国有</w:t>
      </w:r>
      <w:r>
        <w:rPr>
          <w:rFonts w:hint="eastAsia"/>
        </w:rPr>
        <w:t>农用地基准地价表</w:t>
      </w:r>
    </w:p>
    <w:tbl>
      <w:tblPr>
        <w:tblStyle w:val="19"/>
        <w:tblW w:w="87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
        <w:gridCol w:w="880"/>
        <w:gridCol w:w="2331"/>
        <w:gridCol w:w="1600"/>
        <w:gridCol w:w="1625"/>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jc w:val="center"/>
        </w:trPr>
        <w:tc>
          <w:tcPr>
            <w:tcW w:w="4091" w:type="dxa"/>
            <w:gridSpan w:val="3"/>
            <w:tcBorders>
              <w:top w:val="single" w:color="auto" w:sz="4" w:space="0"/>
              <w:left w:val="single" w:color="auto" w:sz="4" w:space="0"/>
              <w:bottom w:val="single" w:color="auto" w:sz="4" w:space="0"/>
              <w:right w:val="single" w:color="auto" w:sz="4" w:space="0"/>
              <w:tl2br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地类             级别</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I</w:t>
            </w:r>
          </w:p>
        </w:tc>
        <w:tc>
          <w:tcPr>
            <w:tcW w:w="16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Ⅱ</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耕地</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水田</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元/平方米</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8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万元/亩</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6.00 </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5.27 </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8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旱地</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元/平方米</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8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8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万元/亩</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5.47 </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4.47 </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176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园地</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元/平方米</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17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万元/亩</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4.53 </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4.00 </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176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林地</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元/平方米</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17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万元/亩</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2.40 </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2.07 </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176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坑塘水面与水库水面</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元/平方米</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jc w:val="center"/>
        </w:trPr>
        <w:tc>
          <w:tcPr>
            <w:tcW w:w="17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万元/亩</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6.27 </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5.67 </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5.07 </w:t>
            </w:r>
          </w:p>
        </w:tc>
      </w:tr>
    </w:tbl>
    <w:p>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spacing w:val="-6"/>
          <w:kern w:val="0"/>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00FAB"/>
    <w:multiLevelType w:val="multilevel"/>
    <w:tmpl w:val="91200FAB"/>
    <w:lvl w:ilvl="0" w:tentative="0">
      <w:start w:val="1"/>
      <w:numFmt w:val="chineseCounting"/>
      <w:pStyle w:val="2"/>
      <w:suff w:val="nothing"/>
      <w:lvlText w:val="第%1章、"/>
      <w:lvlJc w:val="left"/>
      <w:pPr>
        <w:tabs>
          <w:tab w:val="left" w:pos="0"/>
        </w:tabs>
        <w:ind w:left="0" w:firstLine="0"/>
      </w:pPr>
      <w:rPr>
        <w:rFonts w:hint="eastAsia" w:ascii="宋体" w:hAnsi="宋体" w:eastAsia="宋体" w:cs="宋体"/>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41EC59FB"/>
    <w:multiLevelType w:val="singleLevel"/>
    <w:tmpl w:val="41EC59FB"/>
    <w:lvl w:ilvl="0" w:tentative="0">
      <w:start w:val="1"/>
      <w:numFmt w:val="decimal"/>
      <w:suff w:val="nothing"/>
      <w:lvlText w:val="%1、"/>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lMTQxZmEzYjEzOGU5NDZjMDk2MTIyMWJmZTkwMzQifQ=="/>
  </w:docVars>
  <w:rsids>
    <w:rsidRoot w:val="006C1D90"/>
    <w:rsid w:val="00005B30"/>
    <w:rsid w:val="00042C0C"/>
    <w:rsid w:val="00096A78"/>
    <w:rsid w:val="0011220D"/>
    <w:rsid w:val="002032FB"/>
    <w:rsid w:val="002737C2"/>
    <w:rsid w:val="002E54B9"/>
    <w:rsid w:val="0056005D"/>
    <w:rsid w:val="005C26A7"/>
    <w:rsid w:val="00692E4D"/>
    <w:rsid w:val="006C1D90"/>
    <w:rsid w:val="00746D86"/>
    <w:rsid w:val="00C60484"/>
    <w:rsid w:val="00C85C59"/>
    <w:rsid w:val="00D43AC9"/>
    <w:rsid w:val="00EC1EE6"/>
    <w:rsid w:val="00F41533"/>
    <w:rsid w:val="00FD0484"/>
    <w:rsid w:val="01B45A87"/>
    <w:rsid w:val="01E962CE"/>
    <w:rsid w:val="01F46969"/>
    <w:rsid w:val="025C285A"/>
    <w:rsid w:val="026B3007"/>
    <w:rsid w:val="02BD2F15"/>
    <w:rsid w:val="02DF40F1"/>
    <w:rsid w:val="030E6817"/>
    <w:rsid w:val="03673021"/>
    <w:rsid w:val="03EF7C33"/>
    <w:rsid w:val="040335CA"/>
    <w:rsid w:val="042F4BD1"/>
    <w:rsid w:val="044A4E0D"/>
    <w:rsid w:val="04813D3E"/>
    <w:rsid w:val="05076062"/>
    <w:rsid w:val="050D2B4B"/>
    <w:rsid w:val="05B72A07"/>
    <w:rsid w:val="05C42CC0"/>
    <w:rsid w:val="0614701B"/>
    <w:rsid w:val="06714F28"/>
    <w:rsid w:val="06773016"/>
    <w:rsid w:val="069A68E8"/>
    <w:rsid w:val="06D1633E"/>
    <w:rsid w:val="0711206A"/>
    <w:rsid w:val="075760DB"/>
    <w:rsid w:val="07CD7C97"/>
    <w:rsid w:val="087A6F7D"/>
    <w:rsid w:val="09481019"/>
    <w:rsid w:val="096B3536"/>
    <w:rsid w:val="099F11D8"/>
    <w:rsid w:val="09BA05F5"/>
    <w:rsid w:val="09C000DC"/>
    <w:rsid w:val="09C63218"/>
    <w:rsid w:val="0A3E7F8C"/>
    <w:rsid w:val="0B0A76D2"/>
    <w:rsid w:val="0B1354E9"/>
    <w:rsid w:val="0B5C27BB"/>
    <w:rsid w:val="0BC52704"/>
    <w:rsid w:val="0C0032F1"/>
    <w:rsid w:val="0C3B7EEE"/>
    <w:rsid w:val="0C48561A"/>
    <w:rsid w:val="0C515D8E"/>
    <w:rsid w:val="0C684A5B"/>
    <w:rsid w:val="0CC93C0B"/>
    <w:rsid w:val="0CCB7EFD"/>
    <w:rsid w:val="0D233A9F"/>
    <w:rsid w:val="0E871774"/>
    <w:rsid w:val="0F486B78"/>
    <w:rsid w:val="0F666699"/>
    <w:rsid w:val="0F836EE2"/>
    <w:rsid w:val="10F437A0"/>
    <w:rsid w:val="119360D6"/>
    <w:rsid w:val="119B1393"/>
    <w:rsid w:val="12D218B7"/>
    <w:rsid w:val="12D942F3"/>
    <w:rsid w:val="12DC00C9"/>
    <w:rsid w:val="13095934"/>
    <w:rsid w:val="13CD4E62"/>
    <w:rsid w:val="1575557F"/>
    <w:rsid w:val="15E03D33"/>
    <w:rsid w:val="162A1404"/>
    <w:rsid w:val="163C6832"/>
    <w:rsid w:val="165B2D0B"/>
    <w:rsid w:val="179E63E3"/>
    <w:rsid w:val="17B01446"/>
    <w:rsid w:val="190D1247"/>
    <w:rsid w:val="196A3F29"/>
    <w:rsid w:val="19A513CF"/>
    <w:rsid w:val="19E61173"/>
    <w:rsid w:val="1A231FC1"/>
    <w:rsid w:val="1A5E0F94"/>
    <w:rsid w:val="1B0B5CD0"/>
    <w:rsid w:val="1B932D68"/>
    <w:rsid w:val="1BC61B8A"/>
    <w:rsid w:val="1BD44390"/>
    <w:rsid w:val="1BDD2E79"/>
    <w:rsid w:val="1D7C1D0B"/>
    <w:rsid w:val="1D950331"/>
    <w:rsid w:val="1DAD70A9"/>
    <w:rsid w:val="1DC26F8A"/>
    <w:rsid w:val="1EA47627"/>
    <w:rsid w:val="1F504E83"/>
    <w:rsid w:val="1F54169D"/>
    <w:rsid w:val="1F5C6F80"/>
    <w:rsid w:val="1F85084D"/>
    <w:rsid w:val="1FD05167"/>
    <w:rsid w:val="201238E2"/>
    <w:rsid w:val="206E043A"/>
    <w:rsid w:val="20A53B08"/>
    <w:rsid w:val="20D11FE2"/>
    <w:rsid w:val="20DD1159"/>
    <w:rsid w:val="211B3881"/>
    <w:rsid w:val="218E0816"/>
    <w:rsid w:val="21F55E50"/>
    <w:rsid w:val="22554ECF"/>
    <w:rsid w:val="229B41DA"/>
    <w:rsid w:val="229C54AC"/>
    <w:rsid w:val="22B3390B"/>
    <w:rsid w:val="23121572"/>
    <w:rsid w:val="23F32310"/>
    <w:rsid w:val="24182F96"/>
    <w:rsid w:val="242C5A60"/>
    <w:rsid w:val="24BF56CA"/>
    <w:rsid w:val="25AB0CAD"/>
    <w:rsid w:val="25FC4F6A"/>
    <w:rsid w:val="260D2DBA"/>
    <w:rsid w:val="2623095C"/>
    <w:rsid w:val="267B7B6E"/>
    <w:rsid w:val="269C3FDF"/>
    <w:rsid w:val="26B5147D"/>
    <w:rsid w:val="26D5515B"/>
    <w:rsid w:val="26FB553D"/>
    <w:rsid w:val="273E59E4"/>
    <w:rsid w:val="280D0539"/>
    <w:rsid w:val="28915751"/>
    <w:rsid w:val="289E5411"/>
    <w:rsid w:val="28A70715"/>
    <w:rsid w:val="28C53D19"/>
    <w:rsid w:val="28CA642A"/>
    <w:rsid w:val="28CC6347"/>
    <w:rsid w:val="28D10A86"/>
    <w:rsid w:val="292A5D1D"/>
    <w:rsid w:val="295E1538"/>
    <w:rsid w:val="29BD7720"/>
    <w:rsid w:val="2A063491"/>
    <w:rsid w:val="2B805E31"/>
    <w:rsid w:val="2BB61968"/>
    <w:rsid w:val="2BCE5AE6"/>
    <w:rsid w:val="2C0802AC"/>
    <w:rsid w:val="2C1131D6"/>
    <w:rsid w:val="2C6C4BB3"/>
    <w:rsid w:val="2C856439"/>
    <w:rsid w:val="2C9B537D"/>
    <w:rsid w:val="2CA06FFB"/>
    <w:rsid w:val="2CB35427"/>
    <w:rsid w:val="2CD47877"/>
    <w:rsid w:val="2D2C52D4"/>
    <w:rsid w:val="2D7D6ACE"/>
    <w:rsid w:val="2DD01150"/>
    <w:rsid w:val="2E6D3656"/>
    <w:rsid w:val="2E701821"/>
    <w:rsid w:val="2E8A557A"/>
    <w:rsid w:val="2E8E5B57"/>
    <w:rsid w:val="2EA17584"/>
    <w:rsid w:val="2F6C3063"/>
    <w:rsid w:val="2F7734BF"/>
    <w:rsid w:val="2F7923B2"/>
    <w:rsid w:val="2FC30AC6"/>
    <w:rsid w:val="2FD8592A"/>
    <w:rsid w:val="2FE71866"/>
    <w:rsid w:val="3150593A"/>
    <w:rsid w:val="319611CF"/>
    <w:rsid w:val="32921E24"/>
    <w:rsid w:val="32954224"/>
    <w:rsid w:val="32B81787"/>
    <w:rsid w:val="336268EF"/>
    <w:rsid w:val="34352F41"/>
    <w:rsid w:val="3492443F"/>
    <w:rsid w:val="34BD3EB4"/>
    <w:rsid w:val="34C3140A"/>
    <w:rsid w:val="34C54E7C"/>
    <w:rsid w:val="35644B40"/>
    <w:rsid w:val="35812566"/>
    <w:rsid w:val="358B2BB0"/>
    <w:rsid w:val="364B7C3B"/>
    <w:rsid w:val="37101037"/>
    <w:rsid w:val="37797C08"/>
    <w:rsid w:val="37C85392"/>
    <w:rsid w:val="380354B4"/>
    <w:rsid w:val="3904645F"/>
    <w:rsid w:val="39444CB1"/>
    <w:rsid w:val="3A067C03"/>
    <w:rsid w:val="3A322EB8"/>
    <w:rsid w:val="3A631046"/>
    <w:rsid w:val="3A9C0927"/>
    <w:rsid w:val="3AB30C8B"/>
    <w:rsid w:val="3AE72E6B"/>
    <w:rsid w:val="3B070701"/>
    <w:rsid w:val="3B31396A"/>
    <w:rsid w:val="3BFF24E8"/>
    <w:rsid w:val="3C295108"/>
    <w:rsid w:val="3C4448FE"/>
    <w:rsid w:val="3CE83AE9"/>
    <w:rsid w:val="3D3F6F8E"/>
    <w:rsid w:val="3D80647F"/>
    <w:rsid w:val="3DB75F91"/>
    <w:rsid w:val="3E585790"/>
    <w:rsid w:val="3E976956"/>
    <w:rsid w:val="3FDB6D16"/>
    <w:rsid w:val="40093D6C"/>
    <w:rsid w:val="411647D2"/>
    <w:rsid w:val="41526735"/>
    <w:rsid w:val="41B554AC"/>
    <w:rsid w:val="41FA1F65"/>
    <w:rsid w:val="428357E5"/>
    <w:rsid w:val="42871DBC"/>
    <w:rsid w:val="43BF0DE7"/>
    <w:rsid w:val="43E837B0"/>
    <w:rsid w:val="44367500"/>
    <w:rsid w:val="444430DC"/>
    <w:rsid w:val="44B21D3E"/>
    <w:rsid w:val="44B450B4"/>
    <w:rsid w:val="45612B25"/>
    <w:rsid w:val="456D3419"/>
    <w:rsid w:val="45901F6D"/>
    <w:rsid w:val="45D16A20"/>
    <w:rsid w:val="46564E9B"/>
    <w:rsid w:val="466A0EBC"/>
    <w:rsid w:val="46844617"/>
    <w:rsid w:val="46C07377"/>
    <w:rsid w:val="47596E9F"/>
    <w:rsid w:val="47677823"/>
    <w:rsid w:val="47691370"/>
    <w:rsid w:val="47B6609F"/>
    <w:rsid w:val="48066B36"/>
    <w:rsid w:val="48443221"/>
    <w:rsid w:val="4868762C"/>
    <w:rsid w:val="490C4ECA"/>
    <w:rsid w:val="49417FC8"/>
    <w:rsid w:val="49442CE4"/>
    <w:rsid w:val="494522A2"/>
    <w:rsid w:val="49DC49A3"/>
    <w:rsid w:val="49ED4684"/>
    <w:rsid w:val="4A1C2C37"/>
    <w:rsid w:val="4A5D57AB"/>
    <w:rsid w:val="4AA46683"/>
    <w:rsid w:val="4AB50890"/>
    <w:rsid w:val="4AD057CD"/>
    <w:rsid w:val="4B333B29"/>
    <w:rsid w:val="4B3D22C3"/>
    <w:rsid w:val="4B55102F"/>
    <w:rsid w:val="4B6D1154"/>
    <w:rsid w:val="4B9E63DA"/>
    <w:rsid w:val="4BD20436"/>
    <w:rsid w:val="4BF92E58"/>
    <w:rsid w:val="4C1976B9"/>
    <w:rsid w:val="4C20645F"/>
    <w:rsid w:val="4C4F7F9E"/>
    <w:rsid w:val="4CA759CE"/>
    <w:rsid w:val="4D3D20CB"/>
    <w:rsid w:val="4D6335FA"/>
    <w:rsid w:val="4D743088"/>
    <w:rsid w:val="4E1E5898"/>
    <w:rsid w:val="4E8145C1"/>
    <w:rsid w:val="4F8F544E"/>
    <w:rsid w:val="4F9C05E8"/>
    <w:rsid w:val="505D11CC"/>
    <w:rsid w:val="506503FB"/>
    <w:rsid w:val="50725715"/>
    <w:rsid w:val="50F504D3"/>
    <w:rsid w:val="51114346"/>
    <w:rsid w:val="51383FC9"/>
    <w:rsid w:val="514850E1"/>
    <w:rsid w:val="523439E5"/>
    <w:rsid w:val="52EF06B7"/>
    <w:rsid w:val="530B1D2A"/>
    <w:rsid w:val="532F2BCB"/>
    <w:rsid w:val="53881996"/>
    <w:rsid w:val="545A2AA8"/>
    <w:rsid w:val="545B7A07"/>
    <w:rsid w:val="548B5206"/>
    <w:rsid w:val="549D2EF3"/>
    <w:rsid w:val="54D72178"/>
    <w:rsid w:val="550C1E09"/>
    <w:rsid w:val="550E3C0D"/>
    <w:rsid w:val="5548501C"/>
    <w:rsid w:val="55987A4F"/>
    <w:rsid w:val="55B034FC"/>
    <w:rsid w:val="5632359C"/>
    <w:rsid w:val="5641747C"/>
    <w:rsid w:val="567564AE"/>
    <w:rsid w:val="567C3562"/>
    <w:rsid w:val="5690319E"/>
    <w:rsid w:val="56D92B39"/>
    <w:rsid w:val="57700FE1"/>
    <w:rsid w:val="57E6456B"/>
    <w:rsid w:val="58195BCE"/>
    <w:rsid w:val="58F21D47"/>
    <w:rsid w:val="58FD43FD"/>
    <w:rsid w:val="59927620"/>
    <w:rsid w:val="59BF38D9"/>
    <w:rsid w:val="5A0371D5"/>
    <w:rsid w:val="5A8500A8"/>
    <w:rsid w:val="5A9B2ED2"/>
    <w:rsid w:val="5AD167AA"/>
    <w:rsid w:val="5B3D6309"/>
    <w:rsid w:val="5B413A7A"/>
    <w:rsid w:val="5DCD5A99"/>
    <w:rsid w:val="5DE5091F"/>
    <w:rsid w:val="5E06501C"/>
    <w:rsid w:val="5E125652"/>
    <w:rsid w:val="5E451BF1"/>
    <w:rsid w:val="5E73519E"/>
    <w:rsid w:val="5EFE263B"/>
    <w:rsid w:val="5F734EA5"/>
    <w:rsid w:val="5FC8465D"/>
    <w:rsid w:val="5FEC0598"/>
    <w:rsid w:val="60231B94"/>
    <w:rsid w:val="605B149D"/>
    <w:rsid w:val="606415B5"/>
    <w:rsid w:val="60BF75A7"/>
    <w:rsid w:val="60DE68A5"/>
    <w:rsid w:val="60F17CF0"/>
    <w:rsid w:val="60FD76FE"/>
    <w:rsid w:val="61146318"/>
    <w:rsid w:val="61691218"/>
    <w:rsid w:val="617B55E4"/>
    <w:rsid w:val="61B15BCA"/>
    <w:rsid w:val="62065191"/>
    <w:rsid w:val="622B1672"/>
    <w:rsid w:val="62414EA6"/>
    <w:rsid w:val="62C37A73"/>
    <w:rsid w:val="62E33669"/>
    <w:rsid w:val="63616997"/>
    <w:rsid w:val="63963C57"/>
    <w:rsid w:val="64397AD0"/>
    <w:rsid w:val="64773F13"/>
    <w:rsid w:val="647A6744"/>
    <w:rsid w:val="64C45DBD"/>
    <w:rsid w:val="652A557F"/>
    <w:rsid w:val="657810D3"/>
    <w:rsid w:val="65D77766"/>
    <w:rsid w:val="6602370F"/>
    <w:rsid w:val="66174D32"/>
    <w:rsid w:val="6643735D"/>
    <w:rsid w:val="665E6D17"/>
    <w:rsid w:val="66826A6F"/>
    <w:rsid w:val="668C0880"/>
    <w:rsid w:val="67374805"/>
    <w:rsid w:val="67E44CAC"/>
    <w:rsid w:val="67E934CF"/>
    <w:rsid w:val="680509AB"/>
    <w:rsid w:val="68281DAD"/>
    <w:rsid w:val="68A610C0"/>
    <w:rsid w:val="68AC0EC8"/>
    <w:rsid w:val="68CF0BEC"/>
    <w:rsid w:val="68E0308B"/>
    <w:rsid w:val="69156738"/>
    <w:rsid w:val="692B32C0"/>
    <w:rsid w:val="69394C52"/>
    <w:rsid w:val="69EB3A18"/>
    <w:rsid w:val="69FC6B70"/>
    <w:rsid w:val="6A09517D"/>
    <w:rsid w:val="6AC02098"/>
    <w:rsid w:val="6AFA148F"/>
    <w:rsid w:val="6B5D4767"/>
    <w:rsid w:val="6B6814CE"/>
    <w:rsid w:val="6B76632A"/>
    <w:rsid w:val="6B9A7382"/>
    <w:rsid w:val="6C0702FF"/>
    <w:rsid w:val="6C117498"/>
    <w:rsid w:val="6C38318F"/>
    <w:rsid w:val="6C9D0D2C"/>
    <w:rsid w:val="6CC21D35"/>
    <w:rsid w:val="6CDC7AA6"/>
    <w:rsid w:val="6CEE7E41"/>
    <w:rsid w:val="6D01266A"/>
    <w:rsid w:val="6D022A30"/>
    <w:rsid w:val="6D2921E8"/>
    <w:rsid w:val="6D2D27DF"/>
    <w:rsid w:val="6DD33165"/>
    <w:rsid w:val="6E6E2F34"/>
    <w:rsid w:val="6ECB0B38"/>
    <w:rsid w:val="6F3F3327"/>
    <w:rsid w:val="6F9B3DED"/>
    <w:rsid w:val="6FF35087"/>
    <w:rsid w:val="70231548"/>
    <w:rsid w:val="706E6B98"/>
    <w:rsid w:val="70916022"/>
    <w:rsid w:val="70BD5E2F"/>
    <w:rsid w:val="710C11C6"/>
    <w:rsid w:val="71580238"/>
    <w:rsid w:val="717F3DC4"/>
    <w:rsid w:val="722A7366"/>
    <w:rsid w:val="723C1041"/>
    <w:rsid w:val="727A3611"/>
    <w:rsid w:val="72AF5CF1"/>
    <w:rsid w:val="732D7E49"/>
    <w:rsid w:val="73BD251C"/>
    <w:rsid w:val="749A0BD4"/>
    <w:rsid w:val="749A140C"/>
    <w:rsid w:val="750E0154"/>
    <w:rsid w:val="75930F1E"/>
    <w:rsid w:val="75C47FC1"/>
    <w:rsid w:val="760D351E"/>
    <w:rsid w:val="762D35C4"/>
    <w:rsid w:val="76F0487A"/>
    <w:rsid w:val="76FA0D0B"/>
    <w:rsid w:val="770626B9"/>
    <w:rsid w:val="7796207F"/>
    <w:rsid w:val="77ED7A9B"/>
    <w:rsid w:val="78034C5C"/>
    <w:rsid w:val="7810192B"/>
    <w:rsid w:val="785156C3"/>
    <w:rsid w:val="78617FA8"/>
    <w:rsid w:val="78694DFB"/>
    <w:rsid w:val="78A56DF3"/>
    <w:rsid w:val="79232D86"/>
    <w:rsid w:val="79A47B9E"/>
    <w:rsid w:val="7A290EC0"/>
    <w:rsid w:val="7A324FF2"/>
    <w:rsid w:val="7A6A66F1"/>
    <w:rsid w:val="7AC60529"/>
    <w:rsid w:val="7B572538"/>
    <w:rsid w:val="7B5E2667"/>
    <w:rsid w:val="7B694372"/>
    <w:rsid w:val="7BF72573"/>
    <w:rsid w:val="7C417926"/>
    <w:rsid w:val="7C7903D5"/>
    <w:rsid w:val="7CEF7382"/>
    <w:rsid w:val="7CF55E3F"/>
    <w:rsid w:val="7D10281F"/>
    <w:rsid w:val="7D950538"/>
    <w:rsid w:val="7DA20A66"/>
    <w:rsid w:val="7DF038D0"/>
    <w:rsid w:val="7DFF4DCC"/>
    <w:rsid w:val="7E7D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9"/>
    <w:pPr>
      <w:numPr>
        <w:ilvl w:val="0"/>
        <w:numId w:val="1"/>
      </w:numPr>
      <w:autoSpaceDE w:val="0"/>
      <w:autoSpaceDN w:val="0"/>
      <w:jc w:val="center"/>
      <w:outlineLvl w:val="0"/>
    </w:pPr>
    <w:rPr>
      <w:rFonts w:ascii="华文中宋" w:hAnsi="华文中宋" w:eastAsia="新宋体" w:cs="宋体"/>
      <w:b/>
      <w:bCs/>
      <w:kern w:val="0"/>
      <w:sz w:val="32"/>
      <w:szCs w:val="32"/>
    </w:rPr>
  </w:style>
  <w:style w:type="paragraph" w:styleId="3">
    <w:name w:val="heading 2"/>
    <w:basedOn w:val="1"/>
    <w:next w:val="1"/>
    <w:link w:val="23"/>
    <w:qFormat/>
    <w:uiPriority w:val="99"/>
    <w:pPr>
      <w:numPr>
        <w:ilvl w:val="1"/>
        <w:numId w:val="1"/>
      </w:numPr>
      <w:autoSpaceDE w:val="0"/>
      <w:autoSpaceDN w:val="0"/>
      <w:spacing w:before="43"/>
      <w:jc w:val="left"/>
      <w:outlineLvl w:val="1"/>
    </w:pPr>
    <w:rPr>
      <w:rFonts w:ascii="黑体" w:hAnsi="黑体" w:eastAsia="黑体" w:cs="宋体"/>
      <w:b/>
      <w:bCs/>
      <w:kern w:val="0"/>
      <w:sz w:val="28"/>
      <w:szCs w:val="28"/>
    </w:rPr>
  </w:style>
  <w:style w:type="paragraph" w:styleId="4">
    <w:name w:val="heading 3"/>
    <w:basedOn w:val="1"/>
    <w:next w:val="1"/>
    <w:qFormat/>
    <w:uiPriority w:val="1"/>
    <w:pPr>
      <w:numPr>
        <w:ilvl w:val="2"/>
        <w:numId w:val="1"/>
      </w:numPr>
      <w:spacing w:before="21" w:line="480" w:lineRule="exact"/>
      <w:ind w:firstLine="403"/>
      <w:outlineLvl w:val="2"/>
    </w:pPr>
    <w:rPr>
      <w:rFonts w:ascii="仿宋" w:hAnsi="仿宋" w:eastAsia="宋体" w:cs="仿宋"/>
      <w:bCs/>
      <w:sz w:val="24"/>
      <w:szCs w:val="24"/>
    </w:rPr>
  </w:style>
  <w:style w:type="paragraph" w:styleId="5">
    <w:name w:val="heading 4"/>
    <w:basedOn w:val="1"/>
    <w:next w:val="1"/>
    <w:semiHidden/>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jc w:val="center"/>
    </w:pPr>
    <w:rPr>
      <w:rFonts w:ascii="Arial" w:hAnsi="Arial" w:eastAsia="黑体"/>
      <w:b/>
      <w:sz w:val="20"/>
    </w:rPr>
  </w:style>
  <w:style w:type="paragraph" w:styleId="12">
    <w:name w:val="Body Text"/>
    <w:basedOn w:val="1"/>
    <w:link w:val="24"/>
    <w:unhideWhenUsed/>
    <w:qFormat/>
    <w:uiPriority w:val="99"/>
    <w:pPr>
      <w:autoSpaceDE w:val="0"/>
      <w:autoSpaceDN w:val="0"/>
      <w:jc w:val="left"/>
    </w:pPr>
    <w:rPr>
      <w:rFonts w:ascii="仿宋" w:hAnsi="仿宋" w:eastAsia="仿宋" w:cs="宋体"/>
      <w:kern w:val="0"/>
      <w:sz w:val="24"/>
      <w:szCs w:val="24"/>
    </w:rPr>
  </w:style>
  <w:style w:type="paragraph" w:styleId="13">
    <w:name w:val="Date"/>
    <w:basedOn w:val="1"/>
    <w:next w:val="1"/>
    <w:link w:val="21"/>
    <w:semiHidden/>
    <w:unhideWhenUsed/>
    <w:qFormat/>
    <w:uiPriority w:val="99"/>
    <w:pPr>
      <w:ind w:left="100" w:leftChars="2500"/>
    </w:pPr>
  </w:style>
  <w:style w:type="paragraph" w:styleId="14">
    <w:name w:val="footer"/>
    <w:basedOn w:val="1"/>
    <w:semiHidden/>
    <w:unhideWhenUsed/>
    <w:qFormat/>
    <w:uiPriority w:val="99"/>
    <w:pPr>
      <w:tabs>
        <w:tab w:val="center" w:pos="4153"/>
        <w:tab w:val="right" w:pos="8306"/>
      </w:tabs>
      <w:snapToGrid w:val="0"/>
      <w:jc w:val="left"/>
    </w:pPr>
    <w:rPr>
      <w:sz w:val="18"/>
    </w:rPr>
  </w:style>
  <w:style w:type="paragraph" w:styleId="1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semiHidden/>
    <w:unhideWhenUsed/>
    <w:qFormat/>
    <w:uiPriority w:val="39"/>
    <w:rPr>
      <w:sz w:val="24"/>
    </w:rPr>
  </w:style>
  <w:style w:type="paragraph" w:styleId="17">
    <w:name w:val="toc 2"/>
    <w:basedOn w:val="1"/>
    <w:next w:val="1"/>
    <w:semiHidden/>
    <w:unhideWhenUsed/>
    <w:qFormat/>
    <w:uiPriority w:val="39"/>
    <w:pPr>
      <w:ind w:left="420" w:leftChars="200"/>
    </w:pPr>
    <w:rPr>
      <w:sz w:val="24"/>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21">
    <w:name w:val="日期 字符"/>
    <w:basedOn w:val="20"/>
    <w:link w:val="13"/>
    <w:semiHidden/>
    <w:qFormat/>
    <w:uiPriority w:val="99"/>
  </w:style>
  <w:style w:type="character" w:customStyle="1" w:styleId="22">
    <w:name w:val="标题 1 字符"/>
    <w:basedOn w:val="20"/>
    <w:link w:val="2"/>
    <w:qFormat/>
    <w:uiPriority w:val="99"/>
    <w:rPr>
      <w:rFonts w:ascii="华文中宋" w:hAnsi="华文中宋" w:eastAsia="新宋体" w:cs="宋体"/>
      <w:b/>
      <w:bCs/>
      <w:kern w:val="0"/>
      <w:sz w:val="32"/>
      <w:szCs w:val="32"/>
    </w:rPr>
  </w:style>
  <w:style w:type="character" w:customStyle="1" w:styleId="23">
    <w:name w:val="标题 2 字符"/>
    <w:basedOn w:val="20"/>
    <w:link w:val="3"/>
    <w:qFormat/>
    <w:uiPriority w:val="99"/>
    <w:rPr>
      <w:rFonts w:ascii="黑体" w:hAnsi="黑体" w:eastAsia="黑体" w:cs="宋体"/>
      <w:b/>
      <w:bCs/>
      <w:kern w:val="0"/>
      <w:sz w:val="28"/>
      <w:szCs w:val="28"/>
    </w:rPr>
  </w:style>
  <w:style w:type="character" w:customStyle="1" w:styleId="24">
    <w:name w:val="正文文本 字符"/>
    <w:basedOn w:val="20"/>
    <w:link w:val="12"/>
    <w:qFormat/>
    <w:uiPriority w:val="99"/>
    <w:rPr>
      <w:rFonts w:ascii="仿宋" w:hAnsi="仿宋" w:eastAsia="仿宋" w:cs="宋体"/>
      <w:kern w:val="0"/>
      <w:sz w:val="24"/>
      <w:szCs w:val="24"/>
    </w:rPr>
  </w:style>
  <w:style w:type="paragraph" w:customStyle="1" w:styleId="25">
    <w:name w:val="Table Paragraph"/>
    <w:basedOn w:val="1"/>
    <w:qFormat/>
    <w:uiPriority w:val="0"/>
    <w:pPr>
      <w:autoSpaceDE w:val="0"/>
      <w:autoSpaceDN w:val="0"/>
      <w:jc w:val="center"/>
    </w:pPr>
    <w:rPr>
      <w:rFonts w:ascii="仿宋" w:hAnsi="仿宋" w:eastAsia="仿宋" w:cs="宋体"/>
      <w:kern w:val="0"/>
      <w:sz w:val="22"/>
    </w:rPr>
  </w:style>
  <w:style w:type="character" w:customStyle="1" w:styleId="26">
    <w:name w:val="font01"/>
    <w:basedOn w:val="20"/>
    <w:qFormat/>
    <w:uiPriority w:val="0"/>
    <w:rPr>
      <w:rFonts w:hint="eastAsia" w:ascii="宋体" w:hAnsi="宋体" w:eastAsia="宋体" w:cs="宋体"/>
      <w:color w:val="000000"/>
      <w:sz w:val="22"/>
      <w:szCs w:val="22"/>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1760</Words>
  <Characters>1878</Characters>
  <Lines>213</Lines>
  <Paragraphs>60</Paragraphs>
  <TotalTime>0</TotalTime>
  <ScaleCrop>false</ScaleCrop>
  <LinksUpToDate>false</LinksUpToDate>
  <CharactersWithSpaces>1918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2020-07-29T07:03:00Z</dcterms:created>
  <dc:creator>Microsoft</dc:creator>
  <cp:lastModifiedBy>Administrator</cp:lastModifiedBy>
  <cp:lastPrinted>2020-08-31T07:39:00Z</cp:lastPrinted>
  <dcterms:modified xsi:type="dcterms:W3CDTF">2022-09-27T01:05:18Z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909F0112ECC346BC93B89DB7C2E0CA9B</vt:lpwstr>
  </property>
</Properties>
</file>