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方正小标宋简体" w:eastAsia="方正小标宋简体" w:cs="Times New Roman"/>
          <w:kern w:val="0"/>
          <w:sz w:val="44"/>
          <w:szCs w:val="44"/>
        </w:rPr>
      </w:pPr>
      <w:r>
        <w:rPr>
          <w:rFonts w:hint="eastAsia" w:ascii="方正小标宋简体" w:hAnsi="方正小标宋简体" w:eastAsia="方正小标宋简体" w:cs="Times New Roman"/>
          <w:kern w:val="0"/>
          <w:sz w:val="44"/>
          <w:szCs w:val="44"/>
        </w:rPr>
        <w:t xml:space="preserve">                                                                            </w:t>
      </w:r>
    </w:p>
    <w:p>
      <w:pPr>
        <w:spacing w:line="560" w:lineRule="exact"/>
        <w:rPr>
          <w:rFonts w:ascii="方正小标宋简体" w:hAnsi="方正小标宋简体" w:eastAsia="方正小标宋简体" w:cs="Times New Roman"/>
          <w:kern w:val="0"/>
          <w:sz w:val="44"/>
          <w:szCs w:val="44"/>
        </w:rPr>
      </w:pPr>
    </w:p>
    <w:p>
      <w:pPr>
        <w:spacing w:line="560" w:lineRule="exact"/>
        <w:rPr>
          <w:rFonts w:ascii="方正小标宋简体" w:hAnsi="方正小标宋简体" w:eastAsia="方正小标宋简体" w:cs="Times New Roman"/>
          <w:kern w:val="0"/>
          <w:sz w:val="44"/>
          <w:szCs w:val="44"/>
        </w:rPr>
      </w:pPr>
    </w:p>
    <w:p>
      <w:pPr>
        <w:spacing w:line="560" w:lineRule="exact"/>
        <w:jc w:val="center"/>
        <w:rPr>
          <w:rFonts w:ascii="方正小标宋简体" w:hAnsi="方正小标宋简体" w:eastAsia="方正小标宋简体" w:cs="Times New Roman"/>
          <w:kern w:val="0"/>
          <w:sz w:val="44"/>
          <w:szCs w:val="44"/>
        </w:rPr>
      </w:pPr>
    </w:p>
    <w:p>
      <w:pPr>
        <w:spacing w:line="560" w:lineRule="exact"/>
        <w:jc w:val="center"/>
        <w:rPr>
          <w:rFonts w:ascii="方正小标宋简体" w:hAnsi="方正小标宋简体" w:eastAsia="方正小标宋简体" w:cs="Times New Roman"/>
          <w:b/>
          <w:bCs/>
          <w:kern w:val="0"/>
          <w:sz w:val="44"/>
          <w:szCs w:val="44"/>
        </w:rPr>
      </w:pPr>
    </w:p>
    <w:p>
      <w:pPr>
        <w:spacing w:line="56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惠州市惠阳区“十四五”能源发展</w:t>
      </w:r>
    </w:p>
    <w:p>
      <w:pPr>
        <w:spacing w:line="56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规划（2021-2025年）</w:t>
      </w:r>
    </w:p>
    <w:p>
      <w:pPr>
        <w:jc w:val="center"/>
        <w:rPr>
          <w:rFonts w:ascii="仿宋_GB2312" w:hAnsi="Times New Roman" w:eastAsia="仿宋_GB2312" w:cs="Times New Roman"/>
          <w:kern w:val="0"/>
          <w:sz w:val="44"/>
          <w:szCs w:val="44"/>
        </w:rPr>
      </w:pPr>
      <w:r>
        <w:rPr>
          <w:rFonts w:hint="eastAsia" w:ascii="仿宋_GB2312" w:hAnsi="Times New Roman" w:eastAsia="仿宋_GB2312" w:cs="Times New Roman"/>
          <w:kern w:val="0"/>
          <w:sz w:val="44"/>
          <w:szCs w:val="44"/>
        </w:rPr>
        <w:t>（征求意见稿）</w:t>
      </w:r>
    </w:p>
    <w:p>
      <w:pPr>
        <w:jc w:val="center"/>
        <w:rPr>
          <w:rFonts w:ascii="方正小标宋简体" w:hAnsi="方正小标宋简体" w:eastAsia="方正小标宋简体" w:cs="Times New Roman"/>
          <w:kern w:val="0"/>
          <w:sz w:val="44"/>
          <w:szCs w:val="44"/>
        </w:rPr>
      </w:pPr>
    </w:p>
    <w:p>
      <w:pPr>
        <w:jc w:val="center"/>
        <w:rPr>
          <w:rFonts w:ascii="方正楷体_GBK" w:hAnsi="方正楷体_GBK" w:eastAsia="方正楷体_GBK" w:cs="方正楷体_GBK"/>
          <w:kern w:val="0"/>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惠州市惠阳区发展和改革局</w:t>
      </w:r>
    </w:p>
    <w:p>
      <w:pPr>
        <w:jc w:val="center"/>
        <w:rPr>
          <w:rFonts w:ascii="方正小标宋_GBK" w:hAnsi="方正小标宋_GBK" w:eastAsia="方正小标宋_GBK" w:cs="方正小标宋_GBK"/>
          <w:kern w:val="0"/>
          <w:sz w:val="36"/>
          <w:szCs w:val="36"/>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titlePg/>
          <w:docGrid w:type="lines" w:linePitch="312" w:charSpace="0"/>
        </w:sectPr>
      </w:pPr>
      <w:r>
        <w:rPr>
          <w:rFonts w:hint="eastAsia" w:ascii="方正小标宋_GBK" w:hAnsi="方正小标宋_GBK" w:eastAsia="方正小标宋_GBK" w:cs="方正小标宋_GBK"/>
          <w:kern w:val="0"/>
          <w:sz w:val="36"/>
          <w:szCs w:val="36"/>
        </w:rPr>
        <w:t>2023年2月</w:t>
      </w:r>
    </w:p>
    <w:p>
      <w:pPr>
        <w:adjustRightInd w:val="0"/>
        <w:snapToGrid w:val="0"/>
        <w:spacing w:line="560" w:lineRule="exact"/>
        <w:jc w:val="center"/>
        <w:rPr>
          <w:rFonts w:ascii="方正黑体_GBK" w:hAnsi="方正黑体_GBK" w:eastAsia="方正黑体_GBK" w:cs="方正黑体_GBK"/>
          <w:b/>
          <w:bCs/>
          <w:kern w:val="0"/>
          <w:sz w:val="32"/>
          <w:szCs w:val="36"/>
        </w:rPr>
      </w:pPr>
    </w:p>
    <w:p>
      <w:pPr>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“十四五”时期（2021-2025年）是惠阳打造“智造高地·活力惠阳”的重要战略期，也是全力推进能源高质量发展，稳步实现碳达峰碳中和目标的关键阶段。</w:t>
      </w:r>
    </w:p>
    <w:p>
      <w:pPr>
        <w:spacing w:line="580" w:lineRule="exact"/>
        <w:ind w:firstLine="640"/>
        <w:rPr>
          <w:rFonts w:ascii="Times New Roman" w:hAnsi="Times New Roman" w:eastAsia="方正仿宋_GBK"/>
          <w:sz w:val="32"/>
        </w:rPr>
      </w:pPr>
      <w:r>
        <w:rPr>
          <w:rFonts w:hint="eastAsia" w:ascii="Times New Roman" w:hAnsi="Times New Roman" w:eastAsia="方正仿宋_GBK"/>
          <w:sz w:val="32"/>
        </w:rPr>
        <w:t>全面贯彻党的二十大精神，</w:t>
      </w:r>
      <w:r>
        <w:rPr>
          <w:rFonts w:hint="eastAsia" w:ascii="Times New Roman" w:hAnsi="Times New Roman" w:eastAsia="方正仿宋_GBK" w:cs="Times New Roman"/>
          <w:sz w:val="32"/>
          <w:szCs w:val="32"/>
        </w:rPr>
        <w:t>深入贯彻习近平生态文明思想和习近平总书记对广东重要讲话、重要指示批示精神，</w:t>
      </w:r>
      <w:r>
        <w:rPr>
          <w:rFonts w:hint="eastAsia" w:ascii="Times New Roman" w:hAnsi="Times New Roman" w:eastAsia="方正仿宋_GBK"/>
          <w:sz w:val="32"/>
        </w:rPr>
        <w:t>认真落实党中央、国务院决策部署，紧紧围绕统筹推进“五位一体”总体布局和协调推进“四个全面”战略布局，牢固树立和贯彻落实创新、协调、绿色、开放、共享的发展理念，深入贯彻“四个革命、一个合作”能源安全新战略，主动顺应能源变革趋势，着力推动能源产供储销体系建设，大力发展多元清洁低碳能源供应体系；主动衔接粤港澳大湾区能源产业基地和创新中心，加强区域合作打造特色能源产业，为全区在更高起点上实现更高水平发展，率先迈上基本实现社会主义现代化新征程提供坚强有力的能源保障。</w:t>
      </w:r>
    </w:p>
    <w:p>
      <w:pPr>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现根据《“十四五”现代能源体系规划》《广东省能源发展“十四五”规划》《惠州市能源发展“十四五”规划》《惠州市惠阳区国民经济和社会发展第十四个五年规划和2035年远景目标纲要》制定本规划，指导我区“十四五”时期能源发展。</w:t>
      </w:r>
    </w:p>
    <w:p>
      <w:pPr>
        <w:widowControl/>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br w:type="page"/>
      </w:r>
    </w:p>
    <w:sdt>
      <w:sdtPr>
        <w:rPr>
          <w:rFonts w:hint="eastAsia" w:ascii="方正小标宋_GBK" w:hAnsi="方正小标宋_GBK" w:eastAsia="方正小标宋_GBK" w:cs="方正小标宋_GBK"/>
          <w:sz w:val="44"/>
          <w:szCs w:val="44"/>
        </w:rPr>
        <w:id w:val="147451412"/>
        <w15:color w:val="DBDBDB"/>
        <w:docPartObj>
          <w:docPartGallery w:val="Table of Contents"/>
          <w:docPartUnique/>
        </w:docPartObj>
      </w:sdtPr>
      <w:sdtEndPr>
        <w:rPr>
          <w:rFonts w:hint="eastAsia" w:ascii="Times New Roman" w:hAnsi="Times New Roman" w:eastAsia="仿宋_GB2312" w:cs="Times New Roman"/>
          <w:b/>
          <w:kern w:val="0"/>
          <w:sz w:val="21"/>
          <w:szCs w:val="32"/>
        </w:rPr>
      </w:sdtEndPr>
      <w:sdtContent>
        <w:p>
          <w:pPr>
            <w:jc w:val="center"/>
            <w:rPr>
              <w:rFonts w:ascii="Times New Roman" w:hAnsi="Times New Roman" w:eastAsia="方正仿宋_GBK" w:cs="方正仿宋_GBK"/>
              <w:b/>
              <w:bCs/>
              <w:sz w:val="30"/>
              <w:szCs w:val="30"/>
            </w:rPr>
          </w:pPr>
          <w:bookmarkStart w:id="34" w:name="_GoBack"/>
          <w:bookmarkEnd w:id="34"/>
          <w:r>
            <w:rPr>
              <w:rFonts w:hint="eastAsia" w:ascii="方正小标宋_GBK" w:hAnsi="方正小标宋_GBK" w:eastAsia="方正小标宋_GBK" w:cs="方正小标宋_GBK"/>
              <w:sz w:val="44"/>
              <w:szCs w:val="44"/>
            </w:rPr>
            <w:t>目  录</w:t>
          </w:r>
        </w:p>
        <w:p>
          <w:pPr>
            <w:pStyle w:val="11"/>
            <w:tabs>
              <w:tab w:val="right" w:leader="dot" w:pos="8306"/>
              <w:tab w:val="clear" w:pos="8296"/>
            </w:tabs>
          </w:pPr>
          <w:r>
            <w:rPr>
              <w:rFonts w:hint="eastAsia" w:eastAsia="方正仿宋_GBK" w:cs="方正仿宋_GBK"/>
              <w:bCs/>
              <w:sz w:val="30"/>
              <w:szCs w:val="30"/>
            </w:rPr>
            <w:fldChar w:fldCharType="begin"/>
          </w:r>
          <w:r>
            <w:rPr>
              <w:rFonts w:hint="eastAsia" w:eastAsia="方正仿宋_GBK" w:cs="方正仿宋_GBK"/>
              <w:bCs/>
              <w:sz w:val="30"/>
              <w:szCs w:val="30"/>
            </w:rPr>
            <w:instrText xml:space="preserve">TOC \o "1-2" \h \u </w:instrText>
          </w:r>
          <w:r>
            <w:rPr>
              <w:rFonts w:hint="eastAsia" w:eastAsia="方正仿宋_GBK" w:cs="方正仿宋_GBK"/>
              <w:bCs/>
              <w:sz w:val="30"/>
              <w:szCs w:val="30"/>
            </w:rPr>
            <w:fldChar w:fldCharType="separate"/>
          </w:r>
          <w:r>
            <w:rPr>
              <w:rFonts w:hint="eastAsia" w:eastAsia="方正仿宋_GBK" w:cs="方正仿宋_GBK"/>
              <w:bCs/>
              <w:szCs w:val="30"/>
            </w:rPr>
            <w:fldChar w:fldCharType="begin"/>
          </w:r>
          <w:r>
            <w:rPr>
              <w:rFonts w:hint="eastAsia" w:eastAsia="方正仿宋_GBK" w:cs="方正仿宋_GBK"/>
              <w:bCs/>
              <w:szCs w:val="30"/>
            </w:rPr>
            <w:instrText xml:space="preserve"> HYPERLINK \l _Toc32334 </w:instrText>
          </w:r>
          <w:r>
            <w:rPr>
              <w:rFonts w:hint="eastAsia" w:eastAsia="方正仿宋_GBK" w:cs="方正仿宋_GBK"/>
              <w:bCs/>
              <w:szCs w:val="30"/>
            </w:rPr>
            <w:fldChar w:fldCharType="separate"/>
          </w:r>
          <w:r>
            <w:rPr>
              <w:rFonts w:hint="eastAsia" w:ascii="方正黑体_GBK" w:hAnsi="方正黑体_GBK" w:eastAsia="方正黑体_GBK" w:cs="方正黑体_GBK"/>
              <w:szCs w:val="48"/>
            </w:rPr>
            <w:t>第一章 发展现状和面临形势</w:t>
          </w:r>
          <w:r>
            <w:tab/>
          </w:r>
          <w:r>
            <w:fldChar w:fldCharType="begin"/>
          </w:r>
          <w:r>
            <w:instrText xml:space="preserve"> PAGEREF _Toc32334 \h </w:instrText>
          </w:r>
          <w:r>
            <w:fldChar w:fldCharType="separate"/>
          </w:r>
          <w:r>
            <w:t>1</w:t>
          </w:r>
          <w:r>
            <w:fldChar w:fldCharType="end"/>
          </w:r>
          <w:r>
            <w:rPr>
              <w:rFonts w:hint="eastAsia" w:eastAsia="方正仿宋_GBK" w:cs="方正仿宋_GBK"/>
              <w:bCs/>
              <w:szCs w:val="30"/>
            </w:rPr>
            <w:fldChar w:fldCharType="end"/>
          </w:r>
        </w:p>
        <w:p>
          <w:pPr>
            <w:pStyle w:val="14"/>
            <w:tabs>
              <w:tab w:val="right" w:leader="dot" w:pos="8306"/>
              <w:tab w:val="clear" w:pos="8296"/>
            </w:tabs>
          </w:pPr>
          <w:r>
            <w:rPr>
              <w:rFonts w:hint="eastAsia" w:ascii="Times New Roman" w:hAnsi="Times New Roman" w:eastAsia="方正仿宋_GBK" w:cs="方正仿宋_GBK"/>
              <w:bCs/>
              <w:kern w:val="0"/>
              <w:szCs w:val="30"/>
            </w:rPr>
            <w:fldChar w:fldCharType="begin"/>
          </w:r>
          <w:r>
            <w:rPr>
              <w:rFonts w:hint="eastAsia" w:ascii="Times New Roman" w:hAnsi="Times New Roman" w:eastAsia="方正仿宋_GBK" w:cs="方正仿宋_GBK"/>
              <w:bCs/>
              <w:kern w:val="0"/>
              <w:szCs w:val="30"/>
            </w:rPr>
            <w:instrText xml:space="preserve"> HYPERLINK \l _Toc10711 </w:instrText>
          </w:r>
          <w:r>
            <w:rPr>
              <w:rFonts w:hint="eastAsia" w:ascii="Times New Roman" w:hAnsi="Times New Roman" w:eastAsia="方正仿宋_GBK" w:cs="方正仿宋_GBK"/>
              <w:bCs/>
              <w:kern w:val="0"/>
              <w:szCs w:val="30"/>
            </w:rPr>
            <w:fldChar w:fldCharType="separate"/>
          </w:r>
          <w:r>
            <w:rPr>
              <w:rFonts w:hint="eastAsia" w:eastAsia="楷体" w:cs="方正黑体_GBK"/>
              <w:bCs w:val="0"/>
            </w:rPr>
            <w:t>第一节 发展现状</w:t>
          </w:r>
          <w:r>
            <w:tab/>
          </w:r>
          <w:r>
            <w:fldChar w:fldCharType="begin"/>
          </w:r>
          <w:r>
            <w:instrText xml:space="preserve"> PAGEREF _Toc10711 \h </w:instrText>
          </w:r>
          <w:r>
            <w:fldChar w:fldCharType="separate"/>
          </w:r>
          <w:r>
            <w:t>1</w:t>
          </w:r>
          <w:r>
            <w:fldChar w:fldCharType="end"/>
          </w:r>
          <w:r>
            <w:rPr>
              <w:rFonts w:hint="eastAsia" w:ascii="Times New Roman" w:hAnsi="Times New Roman" w:eastAsia="方正仿宋_GBK" w:cs="方正仿宋_GBK"/>
              <w:bCs/>
              <w:kern w:val="0"/>
              <w:szCs w:val="30"/>
            </w:rPr>
            <w:fldChar w:fldCharType="end"/>
          </w:r>
        </w:p>
        <w:p>
          <w:pPr>
            <w:pStyle w:val="14"/>
            <w:tabs>
              <w:tab w:val="right" w:leader="dot" w:pos="8306"/>
              <w:tab w:val="clear" w:pos="8296"/>
            </w:tabs>
          </w:pPr>
          <w:r>
            <w:rPr>
              <w:rFonts w:hint="eastAsia" w:ascii="Times New Roman" w:hAnsi="Times New Roman" w:eastAsia="方正仿宋_GBK" w:cs="方正仿宋_GBK"/>
              <w:bCs/>
              <w:kern w:val="0"/>
              <w:szCs w:val="30"/>
            </w:rPr>
            <w:fldChar w:fldCharType="begin"/>
          </w:r>
          <w:r>
            <w:rPr>
              <w:rFonts w:hint="eastAsia" w:ascii="Times New Roman" w:hAnsi="Times New Roman" w:eastAsia="方正仿宋_GBK" w:cs="方正仿宋_GBK"/>
              <w:bCs/>
              <w:kern w:val="0"/>
              <w:szCs w:val="30"/>
            </w:rPr>
            <w:instrText xml:space="preserve"> HYPERLINK \l _Toc7009 </w:instrText>
          </w:r>
          <w:r>
            <w:rPr>
              <w:rFonts w:hint="eastAsia" w:ascii="Times New Roman" w:hAnsi="Times New Roman" w:eastAsia="方正仿宋_GBK" w:cs="方正仿宋_GBK"/>
              <w:bCs/>
              <w:kern w:val="0"/>
              <w:szCs w:val="30"/>
            </w:rPr>
            <w:fldChar w:fldCharType="separate"/>
          </w:r>
          <w:r>
            <w:rPr>
              <w:rFonts w:hint="eastAsia" w:eastAsia="楷体" w:cs="方正黑体_GBK"/>
              <w:bCs w:val="0"/>
            </w:rPr>
            <w:t>第二节 面临形势</w:t>
          </w:r>
          <w:r>
            <w:tab/>
          </w:r>
          <w:r>
            <w:fldChar w:fldCharType="begin"/>
          </w:r>
          <w:r>
            <w:instrText xml:space="preserve"> PAGEREF _Toc7009 \h </w:instrText>
          </w:r>
          <w:r>
            <w:fldChar w:fldCharType="separate"/>
          </w:r>
          <w:r>
            <w:t>2</w:t>
          </w:r>
          <w:r>
            <w:fldChar w:fldCharType="end"/>
          </w:r>
          <w:r>
            <w:rPr>
              <w:rFonts w:hint="eastAsia" w:ascii="Times New Roman" w:hAnsi="Times New Roman" w:eastAsia="方正仿宋_GBK" w:cs="方正仿宋_GBK"/>
              <w:bCs/>
              <w:kern w:val="0"/>
              <w:szCs w:val="30"/>
            </w:rPr>
            <w:fldChar w:fldCharType="end"/>
          </w:r>
        </w:p>
        <w:p>
          <w:pPr>
            <w:pStyle w:val="11"/>
            <w:tabs>
              <w:tab w:val="right" w:leader="dot" w:pos="8306"/>
              <w:tab w:val="clear" w:pos="8296"/>
            </w:tabs>
          </w:pPr>
          <w:r>
            <w:rPr>
              <w:rFonts w:hint="eastAsia" w:ascii="Times New Roman" w:hAnsi="Times New Roman" w:eastAsia="方正仿宋_GBK" w:cs="方正仿宋_GBK"/>
              <w:bCs/>
              <w:kern w:val="0"/>
              <w:szCs w:val="30"/>
            </w:rPr>
            <w:fldChar w:fldCharType="begin"/>
          </w:r>
          <w:r>
            <w:rPr>
              <w:rFonts w:hint="eastAsia" w:ascii="Times New Roman" w:hAnsi="Times New Roman" w:eastAsia="方正仿宋_GBK" w:cs="方正仿宋_GBK"/>
              <w:bCs/>
              <w:kern w:val="0"/>
              <w:szCs w:val="30"/>
            </w:rPr>
            <w:instrText xml:space="preserve"> HYPERLINK \l _Toc13312 </w:instrText>
          </w:r>
          <w:r>
            <w:rPr>
              <w:rFonts w:hint="eastAsia" w:ascii="Times New Roman" w:hAnsi="Times New Roman" w:eastAsia="方正仿宋_GBK" w:cs="方正仿宋_GBK"/>
              <w:bCs/>
              <w:kern w:val="0"/>
              <w:szCs w:val="30"/>
            </w:rPr>
            <w:fldChar w:fldCharType="separate"/>
          </w:r>
          <w:r>
            <w:rPr>
              <w:rFonts w:hint="eastAsia" w:ascii="方正黑体_GBK" w:hAnsi="方正黑体_GBK" w:eastAsia="方正黑体_GBK" w:cs="方正黑体_GBK"/>
              <w:szCs w:val="48"/>
            </w:rPr>
            <w:t>第二章 总体要求与目标</w:t>
          </w:r>
          <w:r>
            <w:tab/>
          </w:r>
          <w:r>
            <w:fldChar w:fldCharType="begin"/>
          </w:r>
          <w:r>
            <w:instrText xml:space="preserve"> PAGEREF _Toc13312 \h </w:instrText>
          </w:r>
          <w:r>
            <w:fldChar w:fldCharType="separate"/>
          </w:r>
          <w:r>
            <w:t>5</w:t>
          </w:r>
          <w:r>
            <w:fldChar w:fldCharType="end"/>
          </w:r>
          <w:r>
            <w:rPr>
              <w:rFonts w:hint="eastAsia" w:ascii="Times New Roman" w:hAnsi="Times New Roman" w:eastAsia="方正仿宋_GBK" w:cs="方正仿宋_GBK"/>
              <w:bCs/>
              <w:kern w:val="0"/>
              <w:szCs w:val="30"/>
            </w:rPr>
            <w:fldChar w:fldCharType="end"/>
          </w:r>
        </w:p>
        <w:p>
          <w:pPr>
            <w:pStyle w:val="14"/>
            <w:tabs>
              <w:tab w:val="right" w:leader="dot" w:pos="8306"/>
              <w:tab w:val="clear" w:pos="8296"/>
            </w:tabs>
          </w:pPr>
          <w:r>
            <w:rPr>
              <w:rFonts w:hint="eastAsia" w:ascii="Times New Roman" w:hAnsi="Times New Roman" w:eastAsia="方正仿宋_GBK" w:cs="方正仿宋_GBK"/>
              <w:bCs/>
              <w:kern w:val="0"/>
              <w:szCs w:val="30"/>
            </w:rPr>
            <w:fldChar w:fldCharType="begin"/>
          </w:r>
          <w:r>
            <w:rPr>
              <w:rFonts w:hint="eastAsia" w:ascii="Times New Roman" w:hAnsi="Times New Roman" w:eastAsia="方正仿宋_GBK" w:cs="方正仿宋_GBK"/>
              <w:bCs/>
              <w:kern w:val="0"/>
              <w:szCs w:val="30"/>
            </w:rPr>
            <w:instrText xml:space="preserve"> HYPERLINK \l _Toc1376 </w:instrText>
          </w:r>
          <w:r>
            <w:rPr>
              <w:rFonts w:hint="eastAsia" w:ascii="Times New Roman" w:hAnsi="Times New Roman" w:eastAsia="方正仿宋_GBK" w:cs="方正仿宋_GBK"/>
              <w:bCs/>
              <w:kern w:val="0"/>
              <w:szCs w:val="30"/>
            </w:rPr>
            <w:fldChar w:fldCharType="separate"/>
          </w:r>
          <w:r>
            <w:rPr>
              <w:rFonts w:hint="eastAsia" w:eastAsia="楷体" w:cs="方正黑体_GBK"/>
            </w:rPr>
            <w:t>第一节 基本原则</w:t>
          </w:r>
          <w:r>
            <w:tab/>
          </w:r>
          <w:r>
            <w:fldChar w:fldCharType="begin"/>
          </w:r>
          <w:r>
            <w:instrText xml:space="preserve"> PAGEREF _Toc1376 \h </w:instrText>
          </w:r>
          <w:r>
            <w:fldChar w:fldCharType="separate"/>
          </w:r>
          <w:r>
            <w:t>5</w:t>
          </w:r>
          <w:r>
            <w:fldChar w:fldCharType="end"/>
          </w:r>
          <w:r>
            <w:rPr>
              <w:rFonts w:hint="eastAsia" w:ascii="Times New Roman" w:hAnsi="Times New Roman" w:eastAsia="方正仿宋_GBK" w:cs="方正仿宋_GBK"/>
              <w:bCs/>
              <w:kern w:val="0"/>
              <w:szCs w:val="30"/>
            </w:rPr>
            <w:fldChar w:fldCharType="end"/>
          </w:r>
        </w:p>
        <w:p>
          <w:pPr>
            <w:pStyle w:val="14"/>
            <w:tabs>
              <w:tab w:val="right" w:leader="dot" w:pos="8306"/>
              <w:tab w:val="clear" w:pos="8296"/>
            </w:tabs>
          </w:pPr>
          <w:r>
            <w:rPr>
              <w:rFonts w:hint="eastAsia" w:ascii="Times New Roman" w:hAnsi="Times New Roman" w:eastAsia="方正仿宋_GBK" w:cs="方正仿宋_GBK"/>
              <w:bCs/>
              <w:kern w:val="0"/>
              <w:szCs w:val="30"/>
            </w:rPr>
            <w:fldChar w:fldCharType="begin"/>
          </w:r>
          <w:r>
            <w:rPr>
              <w:rFonts w:hint="eastAsia" w:ascii="Times New Roman" w:hAnsi="Times New Roman" w:eastAsia="方正仿宋_GBK" w:cs="方正仿宋_GBK"/>
              <w:bCs/>
              <w:kern w:val="0"/>
              <w:szCs w:val="30"/>
            </w:rPr>
            <w:instrText xml:space="preserve"> HYPERLINK \l _Toc22203 </w:instrText>
          </w:r>
          <w:r>
            <w:rPr>
              <w:rFonts w:hint="eastAsia" w:ascii="Times New Roman" w:hAnsi="Times New Roman" w:eastAsia="方正仿宋_GBK" w:cs="方正仿宋_GBK"/>
              <w:bCs/>
              <w:kern w:val="0"/>
              <w:szCs w:val="30"/>
            </w:rPr>
            <w:fldChar w:fldCharType="separate"/>
          </w:r>
          <w:r>
            <w:rPr>
              <w:rFonts w:hint="eastAsia" w:eastAsia="楷体" w:cs="方正黑体_GBK"/>
              <w:bCs w:val="0"/>
            </w:rPr>
            <w:t>第二节 发展目标</w:t>
          </w:r>
          <w:r>
            <w:tab/>
          </w:r>
          <w:r>
            <w:fldChar w:fldCharType="begin"/>
          </w:r>
          <w:r>
            <w:instrText xml:space="preserve"> PAGEREF _Toc22203 \h </w:instrText>
          </w:r>
          <w:r>
            <w:fldChar w:fldCharType="separate"/>
          </w:r>
          <w:r>
            <w:t>6</w:t>
          </w:r>
          <w:r>
            <w:fldChar w:fldCharType="end"/>
          </w:r>
          <w:r>
            <w:rPr>
              <w:rFonts w:hint="eastAsia" w:ascii="Times New Roman" w:hAnsi="Times New Roman" w:eastAsia="方正仿宋_GBK" w:cs="方正仿宋_GBK"/>
              <w:bCs/>
              <w:kern w:val="0"/>
              <w:szCs w:val="30"/>
            </w:rPr>
            <w:fldChar w:fldCharType="end"/>
          </w:r>
        </w:p>
        <w:p>
          <w:pPr>
            <w:pStyle w:val="11"/>
            <w:tabs>
              <w:tab w:val="right" w:leader="dot" w:pos="8306"/>
              <w:tab w:val="clear" w:pos="8296"/>
            </w:tabs>
          </w:pPr>
          <w:r>
            <w:rPr>
              <w:rFonts w:hint="eastAsia" w:ascii="Times New Roman" w:hAnsi="Times New Roman" w:eastAsia="方正仿宋_GBK" w:cs="方正仿宋_GBK"/>
              <w:bCs/>
              <w:kern w:val="0"/>
              <w:szCs w:val="30"/>
            </w:rPr>
            <w:fldChar w:fldCharType="begin"/>
          </w:r>
          <w:r>
            <w:rPr>
              <w:rFonts w:hint="eastAsia" w:ascii="Times New Roman" w:hAnsi="Times New Roman" w:eastAsia="方正仿宋_GBK" w:cs="方正仿宋_GBK"/>
              <w:bCs/>
              <w:kern w:val="0"/>
              <w:szCs w:val="30"/>
            </w:rPr>
            <w:instrText xml:space="preserve"> HYPERLINK \l _Toc3237 </w:instrText>
          </w:r>
          <w:r>
            <w:rPr>
              <w:rFonts w:hint="eastAsia" w:ascii="Times New Roman" w:hAnsi="Times New Roman" w:eastAsia="方正仿宋_GBK" w:cs="方正仿宋_GBK"/>
              <w:bCs/>
              <w:kern w:val="0"/>
              <w:szCs w:val="30"/>
            </w:rPr>
            <w:fldChar w:fldCharType="separate"/>
          </w:r>
          <w:r>
            <w:rPr>
              <w:rFonts w:hint="eastAsia" w:ascii="方正黑体_GBK" w:hAnsi="方正黑体_GBK" w:eastAsia="方正黑体_GBK" w:cs="方正黑体_GBK"/>
              <w:szCs w:val="48"/>
            </w:rPr>
            <w:t>第三章 加快构建安全高效清洁低碳的现代能源体系</w:t>
          </w:r>
          <w:r>
            <w:tab/>
          </w:r>
          <w:r>
            <w:fldChar w:fldCharType="begin"/>
          </w:r>
          <w:r>
            <w:instrText xml:space="preserve"> PAGEREF _Toc3237 \h </w:instrText>
          </w:r>
          <w:r>
            <w:fldChar w:fldCharType="separate"/>
          </w:r>
          <w:r>
            <w:t>8</w:t>
          </w:r>
          <w:r>
            <w:fldChar w:fldCharType="end"/>
          </w:r>
          <w:r>
            <w:rPr>
              <w:rFonts w:hint="eastAsia" w:ascii="Times New Roman" w:hAnsi="Times New Roman" w:eastAsia="方正仿宋_GBK" w:cs="方正仿宋_GBK"/>
              <w:bCs/>
              <w:kern w:val="0"/>
              <w:szCs w:val="30"/>
            </w:rPr>
            <w:fldChar w:fldCharType="end"/>
          </w:r>
        </w:p>
        <w:p>
          <w:pPr>
            <w:pStyle w:val="14"/>
            <w:tabs>
              <w:tab w:val="right" w:leader="dot" w:pos="8306"/>
              <w:tab w:val="clear" w:pos="8296"/>
            </w:tabs>
          </w:pPr>
          <w:r>
            <w:rPr>
              <w:rFonts w:hint="eastAsia" w:ascii="Times New Roman" w:hAnsi="Times New Roman" w:eastAsia="方正仿宋_GBK" w:cs="方正仿宋_GBK"/>
              <w:bCs/>
              <w:kern w:val="0"/>
              <w:szCs w:val="30"/>
            </w:rPr>
            <w:fldChar w:fldCharType="begin"/>
          </w:r>
          <w:r>
            <w:rPr>
              <w:rFonts w:hint="eastAsia" w:ascii="Times New Roman" w:hAnsi="Times New Roman" w:eastAsia="方正仿宋_GBK" w:cs="方正仿宋_GBK"/>
              <w:bCs/>
              <w:kern w:val="0"/>
              <w:szCs w:val="30"/>
            </w:rPr>
            <w:instrText xml:space="preserve"> HYPERLINK \l _Toc15779 </w:instrText>
          </w:r>
          <w:r>
            <w:rPr>
              <w:rFonts w:hint="eastAsia" w:ascii="Times New Roman" w:hAnsi="Times New Roman" w:eastAsia="方正仿宋_GBK" w:cs="方正仿宋_GBK"/>
              <w:bCs/>
              <w:kern w:val="0"/>
              <w:szCs w:val="30"/>
            </w:rPr>
            <w:fldChar w:fldCharType="separate"/>
          </w:r>
          <w:r>
            <w:rPr>
              <w:rFonts w:hint="eastAsia" w:eastAsia="楷体" w:cs="方正黑体_GBK"/>
            </w:rPr>
            <w:t>第一节 完善产供储销体系，增强能源安全供给保障</w:t>
          </w:r>
          <w:r>
            <w:tab/>
          </w:r>
          <w:r>
            <w:fldChar w:fldCharType="begin"/>
          </w:r>
          <w:r>
            <w:instrText xml:space="preserve"> PAGEREF _Toc15779 \h </w:instrText>
          </w:r>
          <w:r>
            <w:fldChar w:fldCharType="separate"/>
          </w:r>
          <w:r>
            <w:t>8</w:t>
          </w:r>
          <w:r>
            <w:fldChar w:fldCharType="end"/>
          </w:r>
          <w:r>
            <w:rPr>
              <w:rFonts w:hint="eastAsia" w:ascii="Times New Roman" w:hAnsi="Times New Roman" w:eastAsia="方正仿宋_GBK" w:cs="方正仿宋_GBK"/>
              <w:bCs/>
              <w:kern w:val="0"/>
              <w:szCs w:val="30"/>
            </w:rPr>
            <w:fldChar w:fldCharType="end"/>
          </w:r>
        </w:p>
        <w:p>
          <w:pPr>
            <w:pStyle w:val="14"/>
            <w:tabs>
              <w:tab w:val="right" w:leader="dot" w:pos="8306"/>
              <w:tab w:val="clear" w:pos="8296"/>
            </w:tabs>
          </w:pPr>
          <w:r>
            <w:rPr>
              <w:rFonts w:hint="eastAsia" w:ascii="Times New Roman" w:hAnsi="Times New Roman" w:eastAsia="方正仿宋_GBK" w:cs="方正仿宋_GBK"/>
              <w:bCs/>
              <w:kern w:val="0"/>
              <w:szCs w:val="30"/>
            </w:rPr>
            <w:fldChar w:fldCharType="begin"/>
          </w:r>
          <w:r>
            <w:rPr>
              <w:rFonts w:hint="eastAsia" w:ascii="Times New Roman" w:hAnsi="Times New Roman" w:eastAsia="方正仿宋_GBK" w:cs="方正仿宋_GBK"/>
              <w:bCs/>
              <w:kern w:val="0"/>
              <w:szCs w:val="30"/>
            </w:rPr>
            <w:instrText xml:space="preserve"> HYPERLINK \l _Toc105 </w:instrText>
          </w:r>
          <w:r>
            <w:rPr>
              <w:rFonts w:hint="eastAsia" w:ascii="Times New Roman" w:hAnsi="Times New Roman" w:eastAsia="方正仿宋_GBK" w:cs="方正仿宋_GBK"/>
              <w:bCs/>
              <w:kern w:val="0"/>
              <w:szCs w:val="30"/>
            </w:rPr>
            <w:fldChar w:fldCharType="separate"/>
          </w:r>
          <w:r>
            <w:rPr>
              <w:rFonts w:hint="eastAsia" w:eastAsia="楷体" w:cs="方正黑体_GBK"/>
            </w:rPr>
            <w:t>第二节 大力发展清洁能源，推动能源绿色低碳转型</w:t>
          </w:r>
          <w:r>
            <w:tab/>
          </w:r>
          <w:r>
            <w:fldChar w:fldCharType="begin"/>
          </w:r>
          <w:r>
            <w:instrText xml:space="preserve"> PAGEREF _Toc105 \h </w:instrText>
          </w:r>
          <w:r>
            <w:fldChar w:fldCharType="separate"/>
          </w:r>
          <w:r>
            <w:t>10</w:t>
          </w:r>
          <w:r>
            <w:fldChar w:fldCharType="end"/>
          </w:r>
          <w:r>
            <w:rPr>
              <w:rFonts w:hint="eastAsia" w:ascii="Times New Roman" w:hAnsi="Times New Roman" w:eastAsia="方正仿宋_GBK" w:cs="方正仿宋_GBK"/>
              <w:bCs/>
              <w:kern w:val="0"/>
              <w:szCs w:val="30"/>
            </w:rPr>
            <w:fldChar w:fldCharType="end"/>
          </w:r>
        </w:p>
        <w:p>
          <w:pPr>
            <w:pStyle w:val="14"/>
            <w:tabs>
              <w:tab w:val="right" w:leader="dot" w:pos="8306"/>
              <w:tab w:val="clear" w:pos="8296"/>
            </w:tabs>
          </w:pPr>
          <w:r>
            <w:rPr>
              <w:rFonts w:hint="eastAsia" w:ascii="Times New Roman" w:hAnsi="Times New Roman" w:eastAsia="方正仿宋_GBK" w:cs="方正仿宋_GBK"/>
              <w:bCs/>
              <w:kern w:val="0"/>
              <w:szCs w:val="30"/>
            </w:rPr>
            <w:fldChar w:fldCharType="begin"/>
          </w:r>
          <w:r>
            <w:rPr>
              <w:rFonts w:hint="eastAsia" w:ascii="Times New Roman" w:hAnsi="Times New Roman" w:eastAsia="方正仿宋_GBK" w:cs="方正仿宋_GBK"/>
              <w:bCs/>
              <w:kern w:val="0"/>
              <w:szCs w:val="30"/>
            </w:rPr>
            <w:instrText xml:space="preserve"> HYPERLINK \l _Toc3336 </w:instrText>
          </w:r>
          <w:r>
            <w:rPr>
              <w:rFonts w:hint="eastAsia" w:ascii="Times New Roman" w:hAnsi="Times New Roman" w:eastAsia="方正仿宋_GBK" w:cs="方正仿宋_GBK"/>
              <w:bCs/>
              <w:kern w:val="0"/>
              <w:szCs w:val="30"/>
            </w:rPr>
            <w:fldChar w:fldCharType="separate"/>
          </w:r>
          <w:r>
            <w:rPr>
              <w:rFonts w:hint="eastAsia" w:eastAsia="楷体" w:cs="方正黑体_GBK"/>
            </w:rPr>
            <w:t>第三节 加强能源领域创新，加快能源科技高效应用</w:t>
          </w:r>
          <w:r>
            <w:tab/>
          </w:r>
          <w:r>
            <w:fldChar w:fldCharType="begin"/>
          </w:r>
          <w:r>
            <w:instrText xml:space="preserve"> PAGEREF _Toc3336 \h </w:instrText>
          </w:r>
          <w:r>
            <w:fldChar w:fldCharType="separate"/>
          </w:r>
          <w:r>
            <w:t>12</w:t>
          </w:r>
          <w:r>
            <w:fldChar w:fldCharType="end"/>
          </w:r>
          <w:r>
            <w:rPr>
              <w:rFonts w:hint="eastAsia" w:ascii="Times New Roman" w:hAnsi="Times New Roman" w:eastAsia="方正仿宋_GBK" w:cs="方正仿宋_GBK"/>
              <w:bCs/>
              <w:kern w:val="0"/>
              <w:szCs w:val="30"/>
            </w:rPr>
            <w:fldChar w:fldCharType="end"/>
          </w:r>
        </w:p>
        <w:p>
          <w:pPr>
            <w:pStyle w:val="14"/>
            <w:tabs>
              <w:tab w:val="right" w:leader="dot" w:pos="8306"/>
              <w:tab w:val="clear" w:pos="8296"/>
            </w:tabs>
          </w:pPr>
          <w:r>
            <w:rPr>
              <w:rFonts w:hint="eastAsia" w:ascii="Times New Roman" w:hAnsi="Times New Roman" w:eastAsia="方正仿宋_GBK" w:cs="方正仿宋_GBK"/>
              <w:bCs/>
              <w:kern w:val="0"/>
              <w:szCs w:val="30"/>
            </w:rPr>
            <w:fldChar w:fldCharType="begin"/>
          </w:r>
          <w:r>
            <w:rPr>
              <w:rFonts w:hint="eastAsia" w:ascii="Times New Roman" w:hAnsi="Times New Roman" w:eastAsia="方正仿宋_GBK" w:cs="方正仿宋_GBK"/>
              <w:bCs/>
              <w:kern w:val="0"/>
              <w:szCs w:val="30"/>
            </w:rPr>
            <w:instrText xml:space="preserve"> HYPERLINK \l _Toc9673 </w:instrText>
          </w:r>
          <w:r>
            <w:rPr>
              <w:rFonts w:hint="eastAsia" w:ascii="Times New Roman" w:hAnsi="Times New Roman" w:eastAsia="方正仿宋_GBK" w:cs="方正仿宋_GBK"/>
              <w:bCs/>
              <w:kern w:val="0"/>
              <w:szCs w:val="30"/>
            </w:rPr>
            <w:fldChar w:fldCharType="separate"/>
          </w:r>
          <w:r>
            <w:rPr>
              <w:rFonts w:hint="eastAsia" w:eastAsia="楷体" w:cs="方正黑体_GBK"/>
            </w:rPr>
            <w:t>第四节 积极转变用能方式，促进能源节约高效利用</w:t>
          </w:r>
          <w:r>
            <w:tab/>
          </w:r>
          <w:r>
            <w:fldChar w:fldCharType="begin"/>
          </w:r>
          <w:r>
            <w:instrText xml:space="preserve"> PAGEREF _Toc9673 \h </w:instrText>
          </w:r>
          <w:r>
            <w:fldChar w:fldCharType="separate"/>
          </w:r>
          <w:r>
            <w:t>14</w:t>
          </w:r>
          <w:r>
            <w:fldChar w:fldCharType="end"/>
          </w:r>
          <w:r>
            <w:rPr>
              <w:rFonts w:hint="eastAsia" w:ascii="Times New Roman" w:hAnsi="Times New Roman" w:eastAsia="方正仿宋_GBK" w:cs="方正仿宋_GBK"/>
              <w:bCs/>
              <w:kern w:val="0"/>
              <w:szCs w:val="30"/>
            </w:rPr>
            <w:fldChar w:fldCharType="end"/>
          </w:r>
        </w:p>
        <w:p>
          <w:pPr>
            <w:pStyle w:val="11"/>
            <w:tabs>
              <w:tab w:val="right" w:leader="dot" w:pos="8306"/>
              <w:tab w:val="clear" w:pos="8296"/>
            </w:tabs>
          </w:pPr>
          <w:r>
            <w:rPr>
              <w:rFonts w:hint="eastAsia" w:ascii="Times New Roman" w:hAnsi="Times New Roman" w:eastAsia="方正仿宋_GBK" w:cs="方正仿宋_GBK"/>
              <w:bCs/>
              <w:kern w:val="0"/>
              <w:szCs w:val="30"/>
            </w:rPr>
            <w:fldChar w:fldCharType="begin"/>
          </w:r>
          <w:r>
            <w:rPr>
              <w:rFonts w:hint="eastAsia" w:ascii="Times New Roman" w:hAnsi="Times New Roman" w:eastAsia="方正仿宋_GBK" w:cs="方正仿宋_GBK"/>
              <w:bCs/>
              <w:kern w:val="0"/>
              <w:szCs w:val="30"/>
            </w:rPr>
            <w:instrText xml:space="preserve"> HYPERLINK \l _Toc10074 </w:instrText>
          </w:r>
          <w:r>
            <w:rPr>
              <w:rFonts w:hint="eastAsia" w:ascii="Times New Roman" w:hAnsi="Times New Roman" w:eastAsia="方正仿宋_GBK" w:cs="方正仿宋_GBK"/>
              <w:bCs/>
              <w:kern w:val="0"/>
              <w:szCs w:val="30"/>
            </w:rPr>
            <w:fldChar w:fldCharType="separate"/>
          </w:r>
          <w:r>
            <w:rPr>
              <w:rFonts w:hint="eastAsia" w:ascii="方正黑体_GBK" w:hAnsi="方正黑体_GBK" w:eastAsia="方正黑体_GBK" w:cs="方正黑体_GBK"/>
              <w:szCs w:val="48"/>
            </w:rPr>
            <w:t>第四章 环境影响分析</w:t>
          </w:r>
          <w:r>
            <w:tab/>
          </w:r>
          <w:r>
            <w:fldChar w:fldCharType="begin"/>
          </w:r>
          <w:r>
            <w:instrText xml:space="preserve"> PAGEREF _Toc10074 \h </w:instrText>
          </w:r>
          <w:r>
            <w:fldChar w:fldCharType="separate"/>
          </w:r>
          <w:r>
            <w:t>16</w:t>
          </w:r>
          <w:r>
            <w:fldChar w:fldCharType="end"/>
          </w:r>
          <w:r>
            <w:rPr>
              <w:rFonts w:hint="eastAsia" w:ascii="Times New Roman" w:hAnsi="Times New Roman" w:eastAsia="方正仿宋_GBK" w:cs="方正仿宋_GBK"/>
              <w:bCs/>
              <w:kern w:val="0"/>
              <w:szCs w:val="30"/>
            </w:rPr>
            <w:fldChar w:fldCharType="end"/>
          </w:r>
        </w:p>
        <w:p>
          <w:pPr>
            <w:pStyle w:val="14"/>
            <w:tabs>
              <w:tab w:val="right" w:leader="dot" w:pos="8306"/>
              <w:tab w:val="clear" w:pos="8296"/>
            </w:tabs>
          </w:pPr>
          <w:r>
            <w:rPr>
              <w:rFonts w:hint="eastAsia" w:ascii="Times New Roman" w:hAnsi="Times New Roman" w:eastAsia="方正仿宋_GBK" w:cs="方正仿宋_GBK"/>
              <w:bCs/>
              <w:kern w:val="0"/>
              <w:szCs w:val="30"/>
            </w:rPr>
            <w:fldChar w:fldCharType="begin"/>
          </w:r>
          <w:r>
            <w:rPr>
              <w:rFonts w:hint="eastAsia" w:ascii="Times New Roman" w:hAnsi="Times New Roman" w:eastAsia="方正仿宋_GBK" w:cs="方正仿宋_GBK"/>
              <w:bCs/>
              <w:kern w:val="0"/>
              <w:szCs w:val="30"/>
            </w:rPr>
            <w:instrText xml:space="preserve"> HYPERLINK \l _Toc26648 </w:instrText>
          </w:r>
          <w:r>
            <w:rPr>
              <w:rFonts w:hint="eastAsia" w:ascii="Times New Roman" w:hAnsi="Times New Roman" w:eastAsia="方正仿宋_GBK" w:cs="方正仿宋_GBK"/>
              <w:bCs/>
              <w:kern w:val="0"/>
              <w:szCs w:val="30"/>
            </w:rPr>
            <w:fldChar w:fldCharType="separate"/>
          </w:r>
          <w:r>
            <w:rPr>
              <w:rFonts w:hint="eastAsia" w:eastAsia="楷体" w:cs="方正黑体_GBK"/>
            </w:rPr>
            <w:t>第一节 环境影响分析</w:t>
          </w:r>
          <w:r>
            <w:tab/>
          </w:r>
          <w:r>
            <w:fldChar w:fldCharType="begin"/>
          </w:r>
          <w:r>
            <w:instrText xml:space="preserve"> PAGEREF _Toc26648 \h </w:instrText>
          </w:r>
          <w:r>
            <w:fldChar w:fldCharType="separate"/>
          </w:r>
          <w:r>
            <w:t>16</w:t>
          </w:r>
          <w:r>
            <w:fldChar w:fldCharType="end"/>
          </w:r>
          <w:r>
            <w:rPr>
              <w:rFonts w:hint="eastAsia" w:ascii="Times New Roman" w:hAnsi="Times New Roman" w:eastAsia="方正仿宋_GBK" w:cs="方正仿宋_GBK"/>
              <w:bCs/>
              <w:kern w:val="0"/>
              <w:szCs w:val="30"/>
            </w:rPr>
            <w:fldChar w:fldCharType="end"/>
          </w:r>
        </w:p>
        <w:p>
          <w:pPr>
            <w:pStyle w:val="14"/>
            <w:tabs>
              <w:tab w:val="right" w:leader="dot" w:pos="8306"/>
              <w:tab w:val="clear" w:pos="8296"/>
            </w:tabs>
          </w:pPr>
          <w:r>
            <w:rPr>
              <w:rFonts w:hint="eastAsia" w:ascii="Times New Roman" w:hAnsi="Times New Roman" w:eastAsia="方正仿宋_GBK" w:cs="方正仿宋_GBK"/>
              <w:bCs/>
              <w:kern w:val="0"/>
              <w:szCs w:val="30"/>
            </w:rPr>
            <w:fldChar w:fldCharType="begin"/>
          </w:r>
          <w:r>
            <w:rPr>
              <w:rFonts w:hint="eastAsia" w:ascii="Times New Roman" w:hAnsi="Times New Roman" w:eastAsia="方正仿宋_GBK" w:cs="方正仿宋_GBK"/>
              <w:bCs/>
              <w:kern w:val="0"/>
              <w:szCs w:val="30"/>
            </w:rPr>
            <w:instrText xml:space="preserve"> HYPERLINK \l _Toc6848 </w:instrText>
          </w:r>
          <w:r>
            <w:rPr>
              <w:rFonts w:hint="eastAsia" w:ascii="Times New Roman" w:hAnsi="Times New Roman" w:eastAsia="方正仿宋_GBK" w:cs="方正仿宋_GBK"/>
              <w:bCs/>
              <w:kern w:val="0"/>
              <w:szCs w:val="30"/>
            </w:rPr>
            <w:fldChar w:fldCharType="separate"/>
          </w:r>
          <w:r>
            <w:rPr>
              <w:rFonts w:hint="eastAsia" w:eastAsia="楷体" w:cs="方正黑体_GBK"/>
            </w:rPr>
            <w:t>第二节 环境保护措施</w:t>
          </w:r>
          <w:r>
            <w:tab/>
          </w:r>
          <w:r>
            <w:fldChar w:fldCharType="begin"/>
          </w:r>
          <w:r>
            <w:instrText xml:space="preserve"> PAGEREF _Toc6848 \h </w:instrText>
          </w:r>
          <w:r>
            <w:fldChar w:fldCharType="separate"/>
          </w:r>
          <w:r>
            <w:t>17</w:t>
          </w:r>
          <w:r>
            <w:fldChar w:fldCharType="end"/>
          </w:r>
          <w:r>
            <w:rPr>
              <w:rFonts w:hint="eastAsia" w:ascii="Times New Roman" w:hAnsi="Times New Roman" w:eastAsia="方正仿宋_GBK" w:cs="方正仿宋_GBK"/>
              <w:bCs/>
              <w:kern w:val="0"/>
              <w:szCs w:val="30"/>
            </w:rPr>
            <w:fldChar w:fldCharType="end"/>
          </w:r>
        </w:p>
        <w:p>
          <w:pPr>
            <w:pStyle w:val="11"/>
            <w:tabs>
              <w:tab w:val="right" w:leader="dot" w:pos="8306"/>
              <w:tab w:val="clear" w:pos="8296"/>
            </w:tabs>
          </w:pPr>
          <w:r>
            <w:rPr>
              <w:rFonts w:hint="eastAsia" w:ascii="Times New Roman" w:hAnsi="Times New Roman" w:eastAsia="方正仿宋_GBK" w:cs="方正仿宋_GBK"/>
              <w:bCs/>
              <w:kern w:val="0"/>
              <w:szCs w:val="30"/>
            </w:rPr>
            <w:fldChar w:fldCharType="begin"/>
          </w:r>
          <w:r>
            <w:rPr>
              <w:rFonts w:hint="eastAsia" w:ascii="Times New Roman" w:hAnsi="Times New Roman" w:eastAsia="方正仿宋_GBK" w:cs="方正仿宋_GBK"/>
              <w:bCs/>
              <w:kern w:val="0"/>
              <w:szCs w:val="30"/>
            </w:rPr>
            <w:instrText xml:space="preserve"> HYPERLINK \l _Toc5267 </w:instrText>
          </w:r>
          <w:r>
            <w:rPr>
              <w:rFonts w:hint="eastAsia" w:ascii="Times New Roman" w:hAnsi="Times New Roman" w:eastAsia="方正仿宋_GBK" w:cs="方正仿宋_GBK"/>
              <w:bCs/>
              <w:kern w:val="0"/>
              <w:szCs w:val="30"/>
            </w:rPr>
            <w:fldChar w:fldCharType="separate"/>
          </w:r>
          <w:r>
            <w:rPr>
              <w:rFonts w:hint="eastAsia" w:ascii="方正黑体_GBK" w:hAnsi="方正黑体_GBK" w:eastAsia="方正黑体_GBK" w:cs="方正黑体_GBK"/>
              <w:szCs w:val="48"/>
            </w:rPr>
            <w:t>第五章 保障措施</w:t>
          </w:r>
          <w:r>
            <w:tab/>
          </w:r>
          <w:r>
            <w:fldChar w:fldCharType="begin"/>
          </w:r>
          <w:r>
            <w:instrText xml:space="preserve"> PAGEREF _Toc5267 \h </w:instrText>
          </w:r>
          <w:r>
            <w:fldChar w:fldCharType="separate"/>
          </w:r>
          <w:r>
            <w:t>18</w:t>
          </w:r>
          <w:r>
            <w:fldChar w:fldCharType="end"/>
          </w:r>
          <w:r>
            <w:rPr>
              <w:rFonts w:hint="eastAsia" w:ascii="Times New Roman" w:hAnsi="Times New Roman" w:eastAsia="方正仿宋_GBK" w:cs="方正仿宋_GBK"/>
              <w:bCs/>
              <w:kern w:val="0"/>
              <w:szCs w:val="30"/>
            </w:rPr>
            <w:fldChar w:fldCharType="end"/>
          </w:r>
        </w:p>
        <w:p>
          <w:pPr>
            <w:spacing w:line="580" w:lineRule="exact"/>
            <w:ind w:firstLine="420" w:firstLineChars="200"/>
            <w:rPr>
              <w:rFonts w:ascii="Times New Roman" w:hAnsi="Times New Roman" w:eastAsia="仿宋_GB2312" w:cs="Times New Roman"/>
              <w:kern w:val="0"/>
              <w:sz w:val="32"/>
              <w:szCs w:val="32"/>
            </w:rPr>
          </w:pPr>
          <w:r>
            <w:rPr>
              <w:rFonts w:hint="eastAsia" w:ascii="Times New Roman" w:hAnsi="Times New Roman" w:eastAsia="方正仿宋_GBK" w:cs="方正仿宋_GBK"/>
              <w:bCs/>
              <w:kern w:val="0"/>
              <w:szCs w:val="30"/>
            </w:rPr>
            <w:fldChar w:fldCharType="end"/>
          </w:r>
        </w:p>
      </w:sdtContent>
    </w:sdt>
    <w:p>
      <w:pPr>
        <w:widowControl/>
        <w:jc w:val="left"/>
        <w:rPr>
          <w:rFonts w:ascii="Times New Roman" w:hAnsi="Times New Roman" w:eastAsia="仿宋_GB2312"/>
          <w:sz w:val="32"/>
        </w:rPr>
        <w:sectPr>
          <w:footerReference r:id="rId11" w:type="first"/>
          <w:footerReference r:id="rId10" w:type="default"/>
          <w:pgSz w:w="11906" w:h="16838"/>
          <w:pgMar w:top="1440" w:right="1800" w:bottom="1440" w:left="1800" w:header="851" w:footer="992" w:gutter="0"/>
          <w:pgNumType w:start="1"/>
          <w:cols w:space="425" w:num="1"/>
          <w:titlePg/>
          <w:docGrid w:type="lines" w:linePitch="312" w:charSpace="0"/>
        </w:sectPr>
      </w:pPr>
    </w:p>
    <w:p>
      <w:pPr>
        <w:pStyle w:val="2"/>
        <w:spacing w:line="580" w:lineRule="exact"/>
        <w:ind w:firstLine="0" w:firstLineChars="0"/>
        <w:jc w:val="center"/>
        <w:rPr>
          <w:rFonts w:ascii="方正黑体_GBK" w:hAnsi="方正黑体_GBK" w:eastAsia="方正黑体_GBK" w:cs="方正黑体_GBK"/>
          <w:sz w:val="40"/>
          <w:szCs w:val="52"/>
        </w:rPr>
      </w:pPr>
      <w:bookmarkStart w:id="0" w:name="_Toc29910"/>
      <w:bookmarkStart w:id="1" w:name="_Toc32334"/>
      <w:r>
        <w:rPr>
          <w:rFonts w:hint="eastAsia" w:ascii="方正黑体_GBK" w:hAnsi="方正黑体_GBK" w:eastAsia="方正黑体_GBK" w:cs="方正黑体_GBK"/>
          <w:sz w:val="36"/>
          <w:szCs w:val="48"/>
        </w:rPr>
        <w:t>第一章 发展现状和面临形势</w:t>
      </w:r>
      <w:bookmarkEnd w:id="0"/>
      <w:bookmarkEnd w:id="1"/>
    </w:p>
    <w:p/>
    <w:p>
      <w:pPr>
        <w:pStyle w:val="3"/>
        <w:spacing w:line="580" w:lineRule="exact"/>
        <w:ind w:firstLine="0" w:firstLineChars="0"/>
        <w:jc w:val="center"/>
        <w:rPr>
          <w:rFonts w:eastAsia="楷体" w:cs="方正黑体_GBK"/>
          <w:b/>
          <w:bCs w:val="0"/>
        </w:rPr>
      </w:pPr>
      <w:bookmarkStart w:id="2" w:name="_Toc876"/>
      <w:bookmarkStart w:id="3" w:name="_Toc10711"/>
      <w:r>
        <w:rPr>
          <w:rFonts w:hint="eastAsia" w:eastAsia="楷体" w:cs="方正黑体_GBK"/>
          <w:b/>
          <w:bCs w:val="0"/>
        </w:rPr>
        <w:t>第一节 发展现状</w:t>
      </w:r>
      <w:bookmarkEnd w:id="2"/>
      <w:bookmarkEnd w:id="3"/>
    </w:p>
    <w:p/>
    <w:p>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rPr>
        <w:t>“十三五”期间，惠阳区积极应对能源需求稳步增长态势，大力推进能源基础设施建设，持续优化能源结构，切实提升能源安全保障能力，以能源节约高效利用为主要任务，全面强化节能降耗，为实现经济社会“有质量的稳定增长、可持续的全面发展”提供了有力的能源支撑。</w:t>
      </w:r>
    </w:p>
    <w:p>
      <w:pPr>
        <w:spacing w:line="560" w:lineRule="exact"/>
        <w:ind w:firstLine="643" w:firstLineChars="200"/>
        <w:rPr>
          <w:rFonts w:ascii="Times New Roman" w:hAnsi="Times New Roman" w:eastAsia="方正仿宋_GBK"/>
          <w:sz w:val="32"/>
        </w:rPr>
      </w:pPr>
      <w:r>
        <w:rPr>
          <w:rFonts w:hint="eastAsia" w:ascii="Times New Roman" w:hAnsi="Times New Roman" w:eastAsia="方正仿宋_GBK"/>
          <w:b/>
          <w:bCs/>
          <w:sz w:val="32"/>
        </w:rPr>
        <w:t>——能源供应能力稳步增强。</w:t>
      </w:r>
      <w:r>
        <w:rPr>
          <w:rFonts w:hint="eastAsia" w:ascii="Times New Roman" w:hAnsi="Times New Roman" w:eastAsia="方正仿宋_GBK"/>
          <w:sz w:val="32"/>
        </w:rPr>
        <w:t>“十三五”时期，惠阳区在电力、天然气、液化石油气、成品油供应服务方面不断提升。2020年，惠阳区供电量为95.41亿千瓦时，比2015年增长63.82%；天然气供气量</w:t>
      </w:r>
      <w:r>
        <w:rPr>
          <w:rFonts w:ascii="Times New Roman" w:hAnsi="Times New Roman" w:eastAsia="方正仿宋_GBK"/>
          <w:sz w:val="32"/>
        </w:rPr>
        <w:t>2525.13</w:t>
      </w:r>
      <w:r>
        <w:rPr>
          <w:rFonts w:hint="eastAsia" w:ascii="Times New Roman" w:hAnsi="Times New Roman" w:eastAsia="方正仿宋_GBK"/>
          <w:sz w:val="32"/>
        </w:rPr>
        <w:t>万立方米，比2015年增长296.62%。截至2020年底，惠阳中心城区实现了管道天然气的供应，燃气管网里程达</w:t>
      </w:r>
      <w:r>
        <w:rPr>
          <w:rFonts w:ascii="Times New Roman" w:hAnsi="Times New Roman" w:eastAsia="方正仿宋_GBK"/>
          <w:sz w:val="32"/>
        </w:rPr>
        <w:t>191.62</w:t>
      </w:r>
      <w:r>
        <w:rPr>
          <w:rFonts w:hint="eastAsia" w:ascii="Times New Roman" w:hAnsi="Times New Roman" w:eastAsia="方正仿宋_GBK"/>
          <w:sz w:val="32"/>
        </w:rPr>
        <w:t>公里，已投产洋纳接收门站。惠阳区现有液化石油气瓶装供应站146个，保证了液化石油气的供应；惠阳区共有加油站52座，“十三五”期间新增加油站</w:t>
      </w:r>
      <w:r>
        <w:rPr>
          <w:rFonts w:ascii="Times New Roman" w:hAnsi="Times New Roman" w:eastAsia="方正仿宋_GBK"/>
          <w:sz w:val="32"/>
        </w:rPr>
        <w:t>6</w:t>
      </w:r>
      <w:r>
        <w:rPr>
          <w:rFonts w:hint="eastAsia" w:ascii="Times New Roman" w:hAnsi="Times New Roman" w:eastAsia="方正仿宋_GBK"/>
          <w:sz w:val="32"/>
        </w:rPr>
        <w:t>座</w:t>
      </w:r>
      <w:r>
        <w:rPr>
          <w:rFonts w:hint="eastAsia"/>
          <w:sz w:val="32"/>
          <w:vertAlign w:val="superscript"/>
        </w:rPr>
        <w:footnoteReference w:id="0"/>
      </w:r>
      <w:r>
        <w:rPr>
          <w:rFonts w:hint="eastAsia" w:ascii="Times New Roman" w:hAnsi="Times New Roman" w:eastAsia="方正仿宋_GBK"/>
          <w:sz w:val="32"/>
        </w:rPr>
        <w:t>，有效保障全区成品油稳定供应。</w:t>
      </w:r>
    </w:p>
    <w:p>
      <w:pPr>
        <w:spacing w:line="560" w:lineRule="exact"/>
        <w:ind w:firstLine="643" w:firstLineChars="200"/>
        <w:rPr>
          <w:rFonts w:ascii="Times New Roman" w:hAnsi="Times New Roman" w:eastAsia="方正仿宋_GBK" w:cs="Times New Roman"/>
          <w:sz w:val="32"/>
          <w:szCs w:val="48"/>
        </w:rPr>
      </w:pPr>
      <w:r>
        <w:rPr>
          <w:rFonts w:ascii="Times New Roman" w:hAnsi="Times New Roman" w:eastAsia="方正仿宋_GBK" w:cs="Times New Roman"/>
          <w:b/>
          <w:bCs/>
          <w:sz w:val="32"/>
          <w:szCs w:val="36"/>
        </w:rPr>
        <w:t>——能源</w:t>
      </w:r>
      <w:r>
        <w:rPr>
          <w:rFonts w:hint="eastAsia" w:ascii="Times New Roman" w:hAnsi="Times New Roman" w:eastAsia="方正仿宋_GBK" w:cs="Times New Roman"/>
          <w:b/>
          <w:bCs/>
          <w:sz w:val="32"/>
          <w:szCs w:val="36"/>
        </w:rPr>
        <w:t>消费</w:t>
      </w:r>
      <w:r>
        <w:rPr>
          <w:rFonts w:ascii="Times New Roman" w:hAnsi="Times New Roman" w:eastAsia="方正仿宋_GBK" w:cs="Times New Roman"/>
          <w:b/>
          <w:bCs/>
          <w:sz w:val="32"/>
          <w:szCs w:val="36"/>
        </w:rPr>
        <w:t>结构持续优化。</w:t>
      </w:r>
      <w:r>
        <w:rPr>
          <w:rFonts w:hint="eastAsia" w:ascii="Times New Roman" w:hAnsi="Times New Roman" w:eastAsia="方正仿宋_GBK"/>
          <w:sz w:val="32"/>
        </w:rPr>
        <w:t>“</w:t>
      </w:r>
      <w:r>
        <w:rPr>
          <w:rFonts w:ascii="Times New Roman" w:hAnsi="Times New Roman" w:eastAsia="方正仿宋_GBK" w:cs="Times New Roman"/>
          <w:sz w:val="32"/>
          <w:szCs w:val="48"/>
        </w:rPr>
        <w:t>十三五”期间，全区规上工业以电力</w:t>
      </w:r>
      <w:r>
        <w:rPr>
          <w:rFonts w:hint="eastAsia" w:ascii="Times New Roman" w:hAnsi="Times New Roman" w:eastAsia="方正仿宋_GBK" w:cs="Times New Roman"/>
          <w:sz w:val="32"/>
          <w:szCs w:val="48"/>
        </w:rPr>
        <w:t>为主</w:t>
      </w:r>
      <w:r>
        <w:rPr>
          <w:rFonts w:ascii="Times New Roman" w:hAnsi="Times New Roman" w:eastAsia="方正仿宋_GBK" w:cs="Times New Roman"/>
          <w:sz w:val="32"/>
          <w:szCs w:val="48"/>
        </w:rPr>
        <w:t>，</w:t>
      </w:r>
      <w:r>
        <w:rPr>
          <w:rFonts w:hint="eastAsia" w:ascii="Times New Roman" w:hAnsi="Times New Roman" w:eastAsia="方正仿宋_GBK" w:cs="Times New Roman"/>
          <w:sz w:val="32"/>
          <w:szCs w:val="48"/>
        </w:rPr>
        <w:t>在</w:t>
      </w:r>
      <w:r>
        <w:rPr>
          <w:rFonts w:ascii="Times New Roman" w:hAnsi="Times New Roman" w:eastAsia="方正仿宋_GBK" w:cs="Times New Roman"/>
          <w:sz w:val="32"/>
          <w:szCs w:val="48"/>
        </w:rPr>
        <w:t>一次能源</w:t>
      </w:r>
      <w:r>
        <w:rPr>
          <w:rFonts w:hint="eastAsia" w:ascii="Times New Roman" w:hAnsi="Times New Roman" w:eastAsia="方正仿宋_GBK" w:cs="Times New Roman"/>
          <w:sz w:val="32"/>
          <w:szCs w:val="48"/>
        </w:rPr>
        <w:t>能源</w:t>
      </w:r>
      <w:r>
        <w:rPr>
          <w:rFonts w:ascii="Times New Roman" w:hAnsi="Times New Roman" w:eastAsia="方正仿宋_GBK" w:cs="Times New Roman"/>
          <w:sz w:val="32"/>
          <w:szCs w:val="48"/>
        </w:rPr>
        <w:t>结构</w:t>
      </w:r>
      <w:r>
        <w:rPr>
          <w:rFonts w:hint="eastAsia" w:ascii="Times New Roman" w:hAnsi="Times New Roman" w:eastAsia="方正仿宋_GBK" w:cs="Times New Roman"/>
          <w:sz w:val="32"/>
          <w:szCs w:val="48"/>
        </w:rPr>
        <w:t>中</w:t>
      </w:r>
      <w:r>
        <w:rPr>
          <w:rFonts w:ascii="Times New Roman" w:hAnsi="Times New Roman" w:eastAsia="方正仿宋_GBK" w:cs="Times New Roman"/>
          <w:sz w:val="32"/>
          <w:szCs w:val="48"/>
        </w:rPr>
        <w:t>可再生能源占能源消费总量比重</w:t>
      </w:r>
      <w:r>
        <w:rPr>
          <w:rFonts w:hint="eastAsia" w:ascii="Times New Roman" w:hAnsi="Times New Roman" w:eastAsia="方正仿宋_GBK" w:cs="Times New Roman"/>
          <w:sz w:val="32"/>
          <w:szCs w:val="48"/>
        </w:rPr>
        <w:t>占</w:t>
      </w:r>
      <w:r>
        <w:rPr>
          <w:rFonts w:ascii="Times New Roman" w:hAnsi="Times New Roman" w:eastAsia="方正仿宋_GBK" w:cs="Times New Roman"/>
          <w:sz w:val="32"/>
          <w:szCs w:val="48"/>
        </w:rPr>
        <w:t>23.6%，同比上升5%。</w:t>
      </w:r>
      <w:r>
        <w:rPr>
          <w:rFonts w:ascii="Times New Roman" w:hAnsi="Times New Roman" w:eastAsia="方正仿宋_GBK" w:cs="Times New Roman"/>
          <w:sz w:val="32"/>
          <w:szCs w:val="36"/>
        </w:rPr>
        <w:t>全区天然气消费量由2015年的619万立方米增长到2020年的2525.13万立方米，累计增长308%。2020年规上工业能源</w:t>
      </w:r>
      <w:r>
        <w:rPr>
          <w:rFonts w:hint="eastAsia" w:ascii="Times New Roman" w:hAnsi="Times New Roman" w:eastAsia="方正仿宋_GBK" w:cs="Times New Roman"/>
          <w:sz w:val="32"/>
          <w:szCs w:val="36"/>
        </w:rPr>
        <w:t>消费</w:t>
      </w:r>
      <w:r>
        <w:rPr>
          <w:rFonts w:ascii="Times New Roman" w:hAnsi="Times New Roman" w:eastAsia="方正仿宋_GBK" w:cs="Times New Roman"/>
          <w:sz w:val="32"/>
          <w:szCs w:val="36"/>
        </w:rPr>
        <w:t>结构中，电力、代替燃料、天然气</w:t>
      </w:r>
      <w:r>
        <w:rPr>
          <w:rFonts w:hint="eastAsia" w:ascii="Times New Roman" w:hAnsi="Times New Roman" w:eastAsia="方正仿宋_GBK" w:cs="Times New Roman"/>
          <w:sz w:val="32"/>
          <w:szCs w:val="36"/>
        </w:rPr>
        <w:t>、</w:t>
      </w:r>
      <w:r>
        <w:rPr>
          <w:rFonts w:ascii="Times New Roman" w:hAnsi="Times New Roman" w:eastAsia="方正仿宋_GBK" w:cs="Times New Roman"/>
          <w:sz w:val="32"/>
          <w:szCs w:val="36"/>
        </w:rPr>
        <w:t>石油制品占比分别为72.75%、23.01%、1.77%、2.17%，形成以</w:t>
      </w:r>
      <w:r>
        <w:rPr>
          <w:rFonts w:ascii="Times New Roman" w:hAnsi="Times New Roman" w:eastAsia="方正仿宋_GBK" w:cs="Times New Roman"/>
          <w:sz w:val="32"/>
          <w:szCs w:val="48"/>
        </w:rPr>
        <w:t>电力为主，代替燃料、天然气</w:t>
      </w:r>
      <w:r>
        <w:rPr>
          <w:rFonts w:hint="eastAsia" w:ascii="Times New Roman" w:hAnsi="Times New Roman" w:eastAsia="方正仿宋_GBK" w:cs="Times New Roman"/>
          <w:sz w:val="32"/>
          <w:szCs w:val="48"/>
        </w:rPr>
        <w:t>和</w:t>
      </w:r>
      <w:r>
        <w:rPr>
          <w:rFonts w:ascii="Times New Roman" w:hAnsi="Times New Roman" w:eastAsia="方正仿宋_GBK" w:cs="Times New Roman"/>
          <w:sz w:val="32"/>
          <w:szCs w:val="48"/>
        </w:rPr>
        <w:t>成品油多元互补的能源消费结构。</w:t>
      </w:r>
    </w:p>
    <w:p>
      <w:pPr>
        <w:spacing w:line="560" w:lineRule="exact"/>
        <w:ind w:firstLine="643" w:firstLineChars="200"/>
        <w:rPr>
          <w:rFonts w:ascii="Times New Roman" w:hAnsi="Times New Roman" w:eastAsia="方正仿宋_GBK" w:cs="Times New Roman"/>
          <w:sz w:val="32"/>
          <w:szCs w:val="36"/>
        </w:rPr>
      </w:pPr>
      <w:r>
        <w:rPr>
          <w:rFonts w:ascii="Times New Roman" w:hAnsi="Times New Roman" w:eastAsia="方正仿宋_GBK" w:cs="Times New Roman"/>
          <w:b/>
          <w:bCs/>
          <w:sz w:val="32"/>
          <w:szCs w:val="36"/>
        </w:rPr>
        <w:t>——清洁能源开发初见规模。</w:t>
      </w:r>
      <w:r>
        <w:rPr>
          <w:rFonts w:ascii="Times New Roman" w:hAnsi="Times New Roman" w:eastAsia="方正仿宋_GBK" w:cs="Times New Roman"/>
          <w:sz w:val="32"/>
          <w:szCs w:val="36"/>
        </w:rPr>
        <w:t>“十三五”期间，惠阳积极推进清洁能源、新能源开发利用，光电及垃圾发电项目稳步落地运营。2020年底，全区太阳能光伏发电站共333个，总装机容量29.88兆瓦，其中工商业分布式光伏发电站47个，户用光伏发电站286个。</w:t>
      </w:r>
      <w:r>
        <w:rPr>
          <w:rFonts w:hint="eastAsia" w:ascii="Times New Roman" w:hAnsi="Times New Roman" w:eastAsia="方正仿宋_GBK" w:cs="Times New Roman"/>
          <w:sz w:val="32"/>
          <w:szCs w:val="36"/>
        </w:rPr>
        <w:t>建成</w:t>
      </w:r>
      <w:r>
        <w:rPr>
          <w:rFonts w:ascii="Times New Roman" w:hAnsi="Times New Roman" w:eastAsia="方正仿宋_GBK" w:cs="Times New Roman"/>
          <w:sz w:val="32"/>
          <w:szCs w:val="36"/>
        </w:rPr>
        <w:t>惠阳环境园一期生活垃圾焚烧发电项目</w:t>
      </w:r>
      <w:r>
        <w:rPr>
          <w:rFonts w:hint="eastAsia" w:ascii="Times New Roman" w:hAnsi="Times New Roman" w:eastAsia="方正仿宋_GBK" w:cs="Times New Roman"/>
          <w:sz w:val="32"/>
          <w:szCs w:val="36"/>
        </w:rPr>
        <w:t>，</w:t>
      </w:r>
      <w:r>
        <w:rPr>
          <w:rFonts w:ascii="Times New Roman" w:hAnsi="Times New Roman" w:eastAsia="方正仿宋_GBK" w:cs="Times New Roman"/>
          <w:sz w:val="32"/>
          <w:szCs w:val="36"/>
        </w:rPr>
        <w:t>整体运营情况良好</w:t>
      </w:r>
      <w:r>
        <w:rPr>
          <w:rFonts w:hint="eastAsia" w:ascii="Times New Roman" w:hAnsi="Times New Roman" w:eastAsia="方正仿宋_GBK" w:cs="Times New Roman"/>
          <w:sz w:val="32"/>
          <w:szCs w:val="36"/>
        </w:rPr>
        <w:t>。</w:t>
      </w:r>
    </w:p>
    <w:p>
      <w:pPr>
        <w:spacing w:line="560" w:lineRule="exact"/>
        <w:ind w:firstLine="643" w:firstLineChars="200"/>
        <w:rPr>
          <w:rFonts w:ascii="Times New Roman" w:hAnsi="Times New Roman" w:eastAsia="方正仿宋_GBK" w:cs="Times New Roman"/>
          <w:sz w:val="32"/>
          <w:szCs w:val="36"/>
        </w:rPr>
      </w:pPr>
      <w:r>
        <w:rPr>
          <w:rFonts w:ascii="Times New Roman" w:hAnsi="Times New Roman" w:eastAsia="方正仿宋_GBK" w:cs="Times New Roman"/>
          <w:b/>
          <w:bCs/>
          <w:sz w:val="32"/>
          <w:szCs w:val="36"/>
        </w:rPr>
        <w:t>——节能减排工作扎实推进。</w:t>
      </w:r>
      <w:r>
        <w:rPr>
          <w:rFonts w:ascii="Times New Roman" w:hAnsi="Times New Roman" w:eastAsia="方正仿宋_GBK" w:cs="Times New Roman"/>
          <w:sz w:val="32"/>
          <w:szCs w:val="36"/>
        </w:rPr>
        <w:t>建立节能形势分析报告制度，实施能源消费总量和强度“双控”行动预警。全面落实市下达目标，指导企业实施节能技术改造，有效提高工业节能水平。2020年，全区77家重点用能单位完成节能目标，65家企业通过清洁生产审核验收；实施34项重点节能技改项目，年节能量约1.1万吨标准煤。</w:t>
      </w:r>
    </w:p>
    <w:p>
      <w:pPr>
        <w:pStyle w:val="3"/>
        <w:spacing w:line="580" w:lineRule="exact"/>
        <w:ind w:firstLine="0" w:firstLineChars="0"/>
        <w:jc w:val="center"/>
        <w:rPr>
          <w:rFonts w:hint="eastAsia" w:eastAsia="楷体" w:cs="方正黑体_GBK"/>
          <w:b/>
          <w:bCs w:val="0"/>
        </w:rPr>
      </w:pPr>
      <w:bookmarkStart w:id="4" w:name="_Toc13252"/>
    </w:p>
    <w:p>
      <w:pPr>
        <w:pStyle w:val="3"/>
        <w:spacing w:line="580" w:lineRule="exact"/>
        <w:ind w:firstLine="0" w:firstLineChars="0"/>
        <w:jc w:val="center"/>
        <w:rPr>
          <w:rFonts w:eastAsia="楷体" w:cs="方正黑体_GBK"/>
          <w:b/>
          <w:bCs w:val="0"/>
        </w:rPr>
      </w:pPr>
      <w:bookmarkStart w:id="5" w:name="_Toc7009"/>
      <w:r>
        <w:rPr>
          <w:rFonts w:hint="eastAsia" w:eastAsia="楷体" w:cs="方正黑体_GBK"/>
          <w:b/>
          <w:bCs w:val="0"/>
        </w:rPr>
        <w:t>第二节 面临形势</w:t>
      </w:r>
      <w:bookmarkEnd w:id="4"/>
      <w:bookmarkEnd w:id="5"/>
    </w:p>
    <w:p/>
    <w:p>
      <w:pPr>
        <w:spacing w:line="560" w:lineRule="exact"/>
        <w:ind w:firstLine="640" w:firstLineChars="200"/>
        <w:rPr>
          <w:rFonts w:ascii="Times New Roman" w:hAnsi="Times New Roman" w:eastAsia="方正仿宋_GBK"/>
          <w:sz w:val="32"/>
          <w:highlight w:val="yellow"/>
        </w:rPr>
      </w:pPr>
      <w:r>
        <w:rPr>
          <w:rFonts w:hint="eastAsia" w:ascii="Times New Roman" w:hAnsi="Times New Roman" w:eastAsia="方正仿宋_GBK"/>
          <w:sz w:val="32"/>
        </w:rPr>
        <w:t>“十四五”时期是我国经济由高速增长向高质量发展转变的攻坚期，能源作为保障经济发展的重要资源要素，将面临重大发展机遇和严谨的挑战。</w:t>
      </w:r>
    </w:p>
    <w:p>
      <w:pPr>
        <w:pStyle w:val="4"/>
        <w:spacing w:line="580" w:lineRule="exact"/>
        <w:ind w:firstLine="643"/>
        <w:rPr>
          <w:rFonts w:ascii="Times New Roman" w:hAnsi="Times New Roman" w:eastAsia="方正仿宋_GBK" w:cs="Times New Roman"/>
        </w:rPr>
      </w:pPr>
      <w:bookmarkStart w:id="6" w:name="_Toc9570"/>
      <w:r>
        <w:rPr>
          <w:rFonts w:ascii="Times New Roman" w:hAnsi="Times New Roman" w:eastAsia="方正仿宋_GBK" w:cs="Times New Roman"/>
        </w:rPr>
        <w:t>1. 发展机遇</w:t>
      </w:r>
      <w:bookmarkEnd w:id="6"/>
    </w:p>
    <w:p>
      <w:pPr>
        <w:spacing w:line="580" w:lineRule="exact"/>
        <w:ind w:firstLine="643" w:firstLineChars="200"/>
        <w:rPr>
          <w:rFonts w:ascii="Times New Roman" w:hAnsi="Times New Roman" w:eastAsia="方正仿宋_GBK"/>
          <w:sz w:val="32"/>
        </w:rPr>
      </w:pPr>
      <w:r>
        <w:rPr>
          <w:rFonts w:hint="eastAsia" w:ascii="Times New Roman" w:hAnsi="Times New Roman" w:eastAsia="方正仿宋_GBK"/>
          <w:b/>
          <w:bCs/>
          <w:sz w:val="32"/>
        </w:rPr>
        <w:t>——产业发展</w:t>
      </w:r>
      <w:r>
        <w:rPr>
          <w:rFonts w:hint="eastAsia" w:ascii="Times New Roman" w:hAnsi="Times New Roman" w:eastAsia="方正仿宋_GBK"/>
          <w:b/>
          <w:bCs/>
          <w:sz w:val="32"/>
          <w:lang w:val="en-US" w:eastAsia="zh-CN"/>
        </w:rPr>
        <w:t>激发</w:t>
      </w:r>
      <w:r>
        <w:rPr>
          <w:rFonts w:hint="eastAsia" w:ascii="Times New Roman" w:hAnsi="Times New Roman" w:eastAsia="方正仿宋_GBK"/>
          <w:b/>
          <w:bCs/>
          <w:sz w:val="32"/>
        </w:rPr>
        <w:t>能源</w:t>
      </w:r>
      <w:r>
        <w:rPr>
          <w:rFonts w:hint="eastAsia" w:ascii="Times New Roman" w:hAnsi="Times New Roman" w:eastAsia="方正仿宋_GBK"/>
          <w:b/>
          <w:bCs/>
          <w:sz w:val="32"/>
          <w:lang w:val="en-US" w:eastAsia="zh-CN"/>
        </w:rPr>
        <w:t>市场发展</w:t>
      </w:r>
      <w:r>
        <w:rPr>
          <w:rFonts w:hint="eastAsia" w:ascii="Times New Roman" w:hAnsi="Times New Roman" w:eastAsia="方正仿宋_GBK"/>
          <w:b/>
          <w:bCs/>
          <w:sz w:val="32"/>
        </w:rPr>
        <w:t>。</w:t>
      </w:r>
      <w:r>
        <w:rPr>
          <w:rFonts w:hint="eastAsia" w:ascii="Times New Roman" w:hAnsi="Times New Roman" w:eastAsia="方正仿宋_GBK"/>
          <w:sz w:val="32"/>
        </w:rPr>
        <w:t>惠阳“十四五”重点发展电子信息产业、先进制造业、高技术制造业，为保障经济发展，惠阳坚持能源资源要素配置向园区集聚，面对能源结构不合理、能源市场体系不健全等深层次问题，惠阳区在构建开放竞争、供应有序的大背景下，积极发挥市场在资源配置中决定性作用，促进能源市场体系完善，鼓励社会资本投资建设能源项目，促进清洁能源开发利用，降低能源利用成本。</w:t>
      </w:r>
    </w:p>
    <w:p>
      <w:pPr>
        <w:spacing w:line="580" w:lineRule="exact"/>
        <w:ind w:firstLine="643" w:firstLineChars="200"/>
        <w:rPr>
          <w:rFonts w:ascii="Times New Roman" w:hAnsi="Times New Roman" w:eastAsia="方正仿宋_GBK"/>
          <w:sz w:val="32"/>
        </w:rPr>
      </w:pPr>
      <w:r>
        <w:rPr>
          <w:rFonts w:hint="eastAsia" w:ascii="Times New Roman" w:hAnsi="Times New Roman" w:eastAsia="方正仿宋_GBK"/>
          <w:b/>
          <w:bCs/>
          <w:sz w:val="32"/>
        </w:rPr>
        <w:t>——区域发展带动能源体系发展。</w:t>
      </w:r>
      <w:r>
        <w:rPr>
          <w:rFonts w:hint="eastAsia" w:ascii="Times New Roman" w:hAnsi="Times New Roman" w:eastAsia="方正仿宋_GBK"/>
          <w:sz w:val="32"/>
        </w:rPr>
        <w:t>惠阳地处粤港澳大湾区、毗邻深圳先行示范区，交通体系建设完备，可利用地理优势抓住区域发展机遇成为深莞惠门户型综合服务区和智能制造产业片区；同时惠州市大力发展能源产业，积极构建多元化清洁低碳能源新体系，大力推广太阳能光伏发电，拓展天然气应用市场，统筹推进沿海地区氢能项目，加快建设能源大数据信息管理中心，构建智能化生产运营及决策应用平台，推动各类能源资源系统互动。</w:t>
      </w:r>
    </w:p>
    <w:p>
      <w:pPr>
        <w:spacing w:line="580" w:lineRule="exact"/>
        <w:ind w:firstLine="643" w:firstLineChars="200"/>
        <w:rPr>
          <w:rFonts w:ascii="Times New Roman" w:hAnsi="Times New Roman" w:eastAsia="方正仿宋_GBK"/>
          <w:sz w:val="32"/>
        </w:rPr>
      </w:pPr>
      <w:r>
        <w:rPr>
          <w:rFonts w:hint="eastAsia" w:ascii="Times New Roman" w:hAnsi="Times New Roman" w:eastAsia="方正仿宋_GBK"/>
          <w:b/>
          <w:bCs/>
          <w:sz w:val="32"/>
        </w:rPr>
        <w:t>——平台</w:t>
      </w:r>
      <w:r>
        <w:rPr>
          <w:rFonts w:hint="eastAsia" w:ascii="Times New Roman" w:hAnsi="Times New Roman" w:eastAsia="方正仿宋_GBK"/>
          <w:b/>
          <w:bCs/>
          <w:sz w:val="32"/>
          <w:lang w:val="en-US" w:eastAsia="zh-CN"/>
        </w:rPr>
        <w:t>建设</w:t>
      </w:r>
      <w:r>
        <w:rPr>
          <w:rFonts w:hint="eastAsia" w:ascii="Times New Roman" w:hAnsi="Times New Roman" w:eastAsia="方正仿宋_GBK"/>
          <w:b/>
          <w:bCs/>
          <w:sz w:val="32"/>
        </w:rPr>
        <w:t>推动能源科技创新。</w:t>
      </w:r>
      <w:r>
        <w:rPr>
          <w:rFonts w:hint="eastAsia" w:ascii="Times New Roman" w:hAnsi="Times New Roman" w:eastAsia="方正仿宋_GBK"/>
          <w:sz w:val="32"/>
        </w:rPr>
        <w:t>惠州市在“十四五”期间，积极打造粤港澳大湾区能源科技创新中心，坚持创新驱动发展，加快能源科技创新步伐，以重点实验室和重大能源工程为平台，加强能源领域基础研究，着力突破重大关键能源技术。依托惠州市科研力量，结合惠阳区智能制造产业力量，有助于天然气、风电、光电、氢能等新能源发展，加速提高能源绿色化水平。</w:t>
      </w:r>
    </w:p>
    <w:p>
      <w:pPr>
        <w:pStyle w:val="4"/>
        <w:spacing w:line="580" w:lineRule="exact"/>
        <w:ind w:firstLine="643"/>
        <w:rPr>
          <w:rFonts w:ascii="Times New Roman" w:hAnsi="Times New Roman" w:eastAsia="方正仿宋_GBK" w:cs="Times New Roman"/>
        </w:rPr>
      </w:pPr>
      <w:r>
        <w:rPr>
          <w:rFonts w:ascii="Times New Roman" w:hAnsi="Times New Roman" w:eastAsia="方正仿宋_GBK" w:cs="Times New Roman"/>
        </w:rPr>
        <w:t>2. 面临挑战</w:t>
      </w:r>
    </w:p>
    <w:p>
      <w:pPr>
        <w:spacing w:line="580" w:lineRule="exact"/>
        <w:ind w:firstLine="643" w:firstLineChars="200"/>
        <w:rPr>
          <w:rFonts w:ascii="Times New Roman" w:hAnsi="Times New Roman" w:eastAsia="方正仿宋_GBK"/>
          <w:sz w:val="32"/>
        </w:rPr>
      </w:pPr>
      <w:r>
        <w:rPr>
          <w:rFonts w:hint="eastAsia" w:ascii="Times New Roman" w:hAnsi="Times New Roman" w:eastAsia="方正仿宋_GBK"/>
          <w:b/>
          <w:bCs/>
          <w:sz w:val="32"/>
        </w:rPr>
        <w:t>——低碳</w:t>
      </w:r>
      <w:r>
        <w:rPr>
          <w:rFonts w:hint="eastAsia" w:ascii="Times New Roman" w:hAnsi="Times New Roman" w:eastAsia="方正仿宋_GBK"/>
          <w:b/>
          <w:bCs/>
          <w:sz w:val="32"/>
          <w:lang w:val="en-US" w:eastAsia="zh-CN"/>
        </w:rPr>
        <w:t>高效</w:t>
      </w:r>
      <w:r>
        <w:rPr>
          <w:rFonts w:hint="eastAsia" w:ascii="Times New Roman" w:hAnsi="Times New Roman" w:eastAsia="方正仿宋_GBK"/>
          <w:b/>
          <w:bCs/>
          <w:sz w:val="32"/>
        </w:rPr>
        <w:t>能源体系构建任务艰巨。</w:t>
      </w:r>
      <w:r>
        <w:rPr>
          <w:rFonts w:hint="eastAsia" w:ascii="Times New Roman" w:hAnsi="Times New Roman" w:eastAsia="方正仿宋_GBK"/>
          <w:sz w:val="32"/>
        </w:rPr>
        <w:t>碳达峰碳中和背景下，能源供需体系向高效、清洁、低碳、多元化、智能化的方向转型。惠阳区产业结构以工业为主，产业结构偏重。工业消费中能源利用效率不高，且化石能源利用比例大、含碳量高，推动工业企业完成能源消费结构低碳化转型任务艰巨。</w:t>
      </w:r>
    </w:p>
    <w:p>
      <w:pPr>
        <w:spacing w:line="580" w:lineRule="exact"/>
        <w:ind w:firstLine="643" w:firstLineChars="200"/>
        <w:rPr>
          <w:rFonts w:ascii="Times New Roman" w:hAnsi="Times New Roman" w:eastAsia="方正仿宋_GBK"/>
          <w:sz w:val="32"/>
        </w:rPr>
      </w:pPr>
      <w:r>
        <w:rPr>
          <w:rFonts w:hint="eastAsia" w:ascii="Times New Roman" w:hAnsi="Times New Roman" w:eastAsia="方正仿宋_GBK"/>
          <w:b/>
          <w:bCs/>
          <w:sz w:val="32"/>
        </w:rPr>
        <w:t>——能源取用与发展协调</w:t>
      </w:r>
      <w:r>
        <w:rPr>
          <w:rFonts w:hint="eastAsia" w:ascii="Times New Roman" w:hAnsi="Times New Roman" w:eastAsia="方正仿宋_GBK"/>
          <w:b/>
          <w:bCs/>
          <w:sz w:val="32"/>
          <w:lang w:val="en-US" w:eastAsia="zh-CN"/>
        </w:rPr>
        <w:t>矛盾</w:t>
      </w:r>
      <w:r>
        <w:rPr>
          <w:rFonts w:hint="eastAsia" w:ascii="Times New Roman" w:hAnsi="Times New Roman" w:eastAsia="方正仿宋_GBK"/>
          <w:b/>
          <w:bCs/>
          <w:sz w:val="32"/>
        </w:rPr>
        <w:t>并存。</w:t>
      </w:r>
      <w:r>
        <w:rPr>
          <w:rFonts w:hint="eastAsia" w:ascii="Times New Roman" w:hAnsi="Times New Roman" w:eastAsia="方正仿宋_GBK"/>
          <w:sz w:val="32"/>
        </w:rPr>
        <w:t>惠阳建设发展能需要耗用更多能源，环境平衡等自然过程也需要能源支撑，能源取用与发展之间协调与矛盾并存，协调发展与生态保护是区域能源发展重要内容。</w:t>
      </w:r>
    </w:p>
    <w:p>
      <w:pPr>
        <w:spacing w:line="580" w:lineRule="exact"/>
        <w:ind w:firstLine="643" w:firstLineChars="200"/>
        <w:rPr>
          <w:rFonts w:ascii="Times New Roman" w:hAnsi="Times New Roman" w:eastAsia="方正仿宋_GBK"/>
          <w:sz w:val="32"/>
        </w:rPr>
      </w:pPr>
      <w:r>
        <w:rPr>
          <w:rFonts w:hint="eastAsia" w:ascii="Times New Roman" w:hAnsi="Times New Roman" w:eastAsia="方正仿宋_GBK"/>
          <w:b/>
          <w:bCs/>
          <w:sz w:val="32"/>
        </w:rPr>
        <w:t>——能源供应保障体系</w:t>
      </w:r>
      <w:r>
        <w:rPr>
          <w:rFonts w:hint="eastAsia" w:ascii="Times New Roman" w:hAnsi="Times New Roman" w:eastAsia="方正仿宋_GBK"/>
          <w:b/>
          <w:bCs/>
          <w:sz w:val="32"/>
          <w:lang w:val="en-US" w:eastAsia="zh-CN"/>
        </w:rPr>
        <w:t>建立</w:t>
      </w:r>
      <w:r>
        <w:rPr>
          <w:rFonts w:hint="eastAsia" w:ascii="Times New Roman" w:hAnsi="Times New Roman" w:eastAsia="方正仿宋_GBK"/>
          <w:b/>
          <w:bCs/>
          <w:sz w:val="32"/>
        </w:rPr>
        <w:t>存在压力。</w:t>
      </w:r>
      <w:r>
        <w:rPr>
          <w:rFonts w:hint="eastAsia" w:ascii="Times New Roman" w:hAnsi="Times New Roman" w:eastAsia="方正仿宋_GBK"/>
          <w:sz w:val="32"/>
        </w:rPr>
        <w:t>一是目前惠阳区电力主要依靠跨区输电供给及辖区垃圾发电供给，经常出现用电紧张问题。二是“十四五”初新冠疫情持续全球化、长期化给国际政治经济形势带来极大不确定性，导致企业无法正常生产、项目建设延后，对能源需求及能源发展带来较大影响。</w:t>
      </w:r>
    </w:p>
    <w:p>
      <w:pPr>
        <w:spacing w:line="580" w:lineRule="exact"/>
        <w:ind w:firstLine="643" w:firstLineChars="200"/>
        <w:rPr>
          <w:rFonts w:ascii="Times New Roman" w:hAnsi="Times New Roman" w:eastAsia="方正仿宋_GBK"/>
          <w:sz w:val="32"/>
        </w:rPr>
        <w:sectPr>
          <w:footerReference r:id="rId12"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eastAsia="方正仿宋_GBK"/>
          <w:b/>
          <w:bCs/>
          <w:sz w:val="32"/>
        </w:rPr>
        <w:t>——能源创新发展所需资源亟待完备。</w:t>
      </w:r>
      <w:r>
        <w:rPr>
          <w:rFonts w:hint="eastAsia" w:ascii="Times New Roman" w:hAnsi="Times New Roman" w:eastAsia="方正仿宋_GBK"/>
          <w:sz w:val="32"/>
        </w:rPr>
        <w:t>一是示范性能源发电项目不足。惠阳区近期暂无重点在建及规划电源，示范性发电项目尚未部署落实。二是缺乏能源发展平台。惠阳区缺乏能源大数据信息管理中心等“互联网+”智慧能源服务平台，在未来仍需要依托惠州市建设的能源平台发展。三是缺乏能源领域高端人才。惠阳区能源科技变革加快，对相关能源技术人才也提出了更高的要求，惠阳区未来将面临高端技术人才缺口甚至断层的局面。</w:t>
      </w:r>
    </w:p>
    <w:p>
      <w:pPr>
        <w:pStyle w:val="2"/>
        <w:spacing w:line="580" w:lineRule="exact"/>
        <w:ind w:firstLine="0" w:firstLineChars="0"/>
        <w:jc w:val="center"/>
        <w:rPr>
          <w:rFonts w:ascii="方正黑体_GBK" w:hAnsi="方正黑体_GBK" w:eastAsia="方正黑体_GBK" w:cs="方正黑体_GBK"/>
          <w:sz w:val="36"/>
          <w:szCs w:val="48"/>
        </w:rPr>
      </w:pPr>
      <w:bookmarkStart w:id="7" w:name="_Toc23879"/>
      <w:bookmarkStart w:id="8" w:name="_Toc13312"/>
      <w:r>
        <w:rPr>
          <w:rFonts w:hint="eastAsia" w:ascii="方正黑体_GBK" w:hAnsi="方正黑体_GBK" w:eastAsia="方正黑体_GBK" w:cs="方正黑体_GBK"/>
          <w:sz w:val="36"/>
          <w:szCs w:val="48"/>
        </w:rPr>
        <w:t>第二章 总体要求</w:t>
      </w:r>
      <w:bookmarkEnd w:id="7"/>
      <w:r>
        <w:rPr>
          <w:rFonts w:hint="eastAsia" w:ascii="方正黑体_GBK" w:hAnsi="方正黑体_GBK" w:eastAsia="方正黑体_GBK" w:cs="方正黑体_GBK"/>
          <w:sz w:val="36"/>
          <w:szCs w:val="48"/>
        </w:rPr>
        <w:t>与目标</w:t>
      </w:r>
      <w:bookmarkEnd w:id="8"/>
    </w:p>
    <w:p/>
    <w:p>
      <w:pPr>
        <w:spacing w:line="580" w:lineRule="exact"/>
        <w:ind w:firstLine="640" w:firstLineChars="200"/>
        <w:rPr>
          <w:rFonts w:ascii="方正仿宋_GBK" w:hAnsi="方正楷体_GBK" w:eastAsia="方正仿宋_GBK" w:cs="方正楷体_GBK"/>
          <w:b/>
          <w:bCs/>
          <w:sz w:val="32"/>
        </w:rPr>
      </w:pPr>
      <w:bookmarkStart w:id="9" w:name="_Toc1903"/>
      <w:r>
        <w:rPr>
          <w:rFonts w:hint="eastAsia" w:ascii="Times New Roman" w:hAnsi="Times New Roman" w:eastAsia="方正仿宋_GBK"/>
          <w:sz w:val="32"/>
        </w:rPr>
        <w:t>主动衔接粤港澳大湾区能源产业基地和创新中心，加强区域合作打造特色能源产业，为全区在更高起点上实现更高水平发展，率先迈上基本实现社会主义现代化新征程提供坚强有力的能源保障。</w:t>
      </w:r>
    </w:p>
    <w:p>
      <w:pPr>
        <w:pStyle w:val="3"/>
        <w:spacing w:line="580" w:lineRule="exact"/>
        <w:ind w:firstLine="0" w:firstLineChars="0"/>
        <w:jc w:val="center"/>
        <w:rPr>
          <w:rFonts w:eastAsia="楷体" w:cs="方正黑体_GBK"/>
        </w:rPr>
      </w:pPr>
      <w:bookmarkStart w:id="10" w:name="_Toc1376"/>
      <w:r>
        <w:rPr>
          <w:rFonts w:hint="eastAsia" w:eastAsia="楷体" w:cs="方正黑体_GBK"/>
        </w:rPr>
        <w:t xml:space="preserve">第一节 </w:t>
      </w:r>
      <w:bookmarkEnd w:id="9"/>
      <w:bookmarkStart w:id="11" w:name="_Toc26350"/>
      <w:r>
        <w:rPr>
          <w:rFonts w:hint="eastAsia" w:eastAsia="楷体" w:cs="方正黑体_GBK"/>
        </w:rPr>
        <w:t>基本原则</w:t>
      </w:r>
      <w:bookmarkEnd w:id="10"/>
      <w:bookmarkEnd w:id="11"/>
    </w:p>
    <w:p/>
    <w:p>
      <w:pPr>
        <w:spacing w:line="580" w:lineRule="exact"/>
        <w:ind w:firstLine="643" w:firstLineChars="200"/>
        <w:rPr>
          <w:rFonts w:ascii="Times New Roman" w:hAnsi="Times New Roman" w:eastAsia="方正仿宋_GBK"/>
          <w:sz w:val="32"/>
        </w:rPr>
      </w:pPr>
      <w:r>
        <w:rPr>
          <w:rFonts w:hint="eastAsia" w:ascii="方正仿宋_GBK" w:hAnsi="方正楷体_GBK" w:eastAsia="方正仿宋_GBK" w:cs="方正楷体_GBK"/>
          <w:b/>
          <w:bCs/>
          <w:sz w:val="32"/>
        </w:rPr>
        <w:t>——安全为本，多元保障。</w:t>
      </w:r>
      <w:r>
        <w:rPr>
          <w:rFonts w:hint="eastAsia" w:ascii="Times New Roman" w:hAnsi="Times New Roman" w:eastAsia="方正仿宋_GBK"/>
          <w:sz w:val="32"/>
        </w:rPr>
        <w:t>面对能源供需格局新变化、国际能源发展新趋势，保障国家能源安全，推动能源供给革命，立足区域发展及用能需求，供给体系不断完善积极推动能源供应多元化建设，加快形成油、气、新能源和可再生能源多轮驱动。在保障能源安全的基础上促进能源供应向低碳、无碳转型，将节能减排和提高能效作为当前能源低碳化工作的重点工程，将建成清洁低碳的能源体系作为能源发展的长期目标。</w:t>
      </w:r>
    </w:p>
    <w:p>
      <w:pPr>
        <w:spacing w:line="580" w:lineRule="exact"/>
        <w:ind w:firstLine="643" w:firstLineChars="200"/>
        <w:rPr>
          <w:rFonts w:ascii="Times New Roman" w:hAnsi="Times New Roman" w:eastAsia="方正仿宋_GBK"/>
          <w:sz w:val="32"/>
        </w:rPr>
      </w:pPr>
      <w:r>
        <w:rPr>
          <w:rFonts w:hint="eastAsia" w:ascii="方正仿宋_GBK" w:hAnsi="方正楷体_GBK" w:eastAsia="方正仿宋_GBK" w:cs="方正楷体_GBK"/>
          <w:b/>
          <w:bCs/>
          <w:sz w:val="32"/>
        </w:rPr>
        <w:t>——技术引领，开拓创新。</w:t>
      </w:r>
      <w:r>
        <w:rPr>
          <w:rFonts w:hint="eastAsia" w:ascii="Times New Roman" w:hAnsi="Times New Roman" w:eastAsia="方正仿宋_GBK"/>
          <w:sz w:val="32"/>
        </w:rPr>
        <w:t>加快能源科技创新步伐，推动能源技术从被动跟随向自主创新转变，加快建设智慧能源管理系统，增强需求侧响应能力，实现能源生产和消费智能互动。加快重点领域和关键环节改革步伐，为能源转型发展提供不竭动力。</w:t>
      </w:r>
    </w:p>
    <w:p>
      <w:pPr>
        <w:spacing w:line="580" w:lineRule="exact"/>
        <w:ind w:firstLine="643" w:firstLineChars="200"/>
        <w:rPr>
          <w:rFonts w:ascii="Times New Roman" w:hAnsi="Times New Roman" w:eastAsia="方正仿宋_GBK"/>
          <w:sz w:val="32"/>
        </w:rPr>
      </w:pPr>
      <w:r>
        <w:rPr>
          <w:rFonts w:hint="eastAsia" w:ascii="方正仿宋_GBK" w:hAnsi="方正楷体_GBK" w:eastAsia="方正仿宋_GBK" w:cs="方正楷体_GBK"/>
          <w:b/>
          <w:bCs/>
          <w:sz w:val="32"/>
        </w:rPr>
        <w:t>——市场主导，政府推动。</w:t>
      </w:r>
      <w:r>
        <w:rPr>
          <w:rFonts w:hint="eastAsia" w:ascii="Times New Roman" w:hAnsi="Times New Roman" w:eastAsia="方正仿宋_GBK"/>
          <w:sz w:val="32"/>
        </w:rPr>
        <w:t>深化能源体制机制创新，提升能源统筹协调发展水平，充分发挥市场在资源配置中的决定性作用，遵循市场经济规律、能源行业发展规律，优化能源资源配置，突出市场主体推进能源革命的主力军作用。充分发挥政府作用，打造服务型政府，维护市场秩序，精准科学调控，推进能源治理现代化。</w:t>
      </w:r>
    </w:p>
    <w:p>
      <w:pPr>
        <w:spacing w:line="580" w:lineRule="exact"/>
        <w:ind w:firstLine="643" w:firstLineChars="200"/>
        <w:rPr>
          <w:rFonts w:ascii="Times New Roman" w:hAnsi="Times New Roman" w:eastAsia="方正仿宋_GBK"/>
          <w:sz w:val="32"/>
        </w:rPr>
      </w:pPr>
      <w:r>
        <w:rPr>
          <w:rFonts w:hint="eastAsia" w:ascii="方正仿宋_GBK" w:hAnsi="方正楷体_GBK" w:eastAsia="方正仿宋_GBK" w:cs="方正楷体_GBK"/>
          <w:b/>
          <w:bCs/>
          <w:sz w:val="32"/>
        </w:rPr>
        <w:t>——统筹推进，协调发展。</w:t>
      </w:r>
      <w:r>
        <w:rPr>
          <w:rFonts w:hint="eastAsia" w:ascii="Times New Roman" w:hAnsi="Times New Roman" w:eastAsia="方正仿宋_GBK"/>
          <w:sz w:val="32"/>
        </w:rPr>
        <w:t>统筹能源与社会经济协调发展，立足区域社会经济发展战略；坚决履行协调能源与经济、生态共同发展的重要责任。积极响应惠州先进能源省实验室、能源科技岛等能源创新建设工程，深度参与大湾区科技创新中心建设，充分发挥惠阳区域产业特色优势，加快惠阳区内外区域能源产业发展与合作。</w:t>
      </w:r>
    </w:p>
    <w:p>
      <w:pPr>
        <w:spacing w:line="580" w:lineRule="exact"/>
        <w:ind w:firstLine="640" w:firstLineChars="200"/>
        <w:rPr>
          <w:rFonts w:ascii="Times New Roman" w:hAnsi="Times New Roman" w:eastAsia="方正仿宋_GBK"/>
          <w:sz w:val="32"/>
        </w:rPr>
      </w:pPr>
    </w:p>
    <w:p>
      <w:pPr>
        <w:spacing w:line="580" w:lineRule="exact"/>
        <w:ind w:firstLine="640" w:firstLineChars="200"/>
        <w:rPr>
          <w:rFonts w:ascii="Times New Roman" w:hAnsi="Times New Roman" w:eastAsia="方正仿宋_GBK"/>
          <w:sz w:val="32"/>
        </w:rPr>
      </w:pPr>
    </w:p>
    <w:p>
      <w:pPr>
        <w:pStyle w:val="3"/>
        <w:spacing w:line="580" w:lineRule="exact"/>
        <w:ind w:firstLine="0" w:firstLineChars="0"/>
        <w:jc w:val="center"/>
        <w:rPr>
          <w:rFonts w:eastAsia="楷体" w:cs="方正黑体_GBK"/>
          <w:b/>
          <w:bCs w:val="0"/>
        </w:rPr>
      </w:pPr>
      <w:bookmarkStart w:id="12" w:name="_Toc10424"/>
      <w:bookmarkStart w:id="13" w:name="_Toc22203"/>
      <w:r>
        <w:rPr>
          <w:rFonts w:hint="eastAsia" w:eastAsia="楷体" w:cs="方正黑体_GBK"/>
          <w:b/>
          <w:bCs w:val="0"/>
        </w:rPr>
        <w:t>第二节 发展目标</w:t>
      </w:r>
      <w:bookmarkEnd w:id="12"/>
      <w:bookmarkEnd w:id="13"/>
    </w:p>
    <w:p/>
    <w:p>
      <w:pPr>
        <w:spacing w:line="560" w:lineRule="exact"/>
        <w:ind w:firstLine="640" w:firstLineChars="200"/>
        <w:rPr>
          <w:rFonts w:ascii="Times New Roman" w:hAnsi="Times New Roman" w:eastAsia="方正仿宋_GBK" w:cs="Times New Roman"/>
          <w:sz w:val="32"/>
          <w:szCs w:val="32"/>
          <w:highlight w:val="yellow"/>
        </w:rPr>
      </w:pPr>
      <w:r>
        <w:rPr>
          <w:rFonts w:hint="eastAsia" w:ascii="Times New Roman" w:hAnsi="Times New Roman" w:eastAsia="方正仿宋_GBK" w:cs="Times New Roman"/>
          <w:sz w:val="32"/>
          <w:szCs w:val="32"/>
        </w:rPr>
        <w:t>“十四五”时期，充分发挥惠阳处大湾区东部产业集聚、经济活跃区位优势，重点依托惠州世界级绿色石化基地及粤港澳大湾区能源产业基地建设打造惠阳能源产业基地，推进三大新能源新材料产业园聚集区建设及项目落地，优化完善电网、天然气管网、成品油零售系统和电动汽车充电设施网络，打造多个清洁能源智慧园区，实现能源与产业经济的深度融合发展。到2025年，全区能源安全保障基础更加牢固，</w:t>
      </w:r>
      <w:r>
        <w:rPr>
          <w:rFonts w:ascii="Times New Roman" w:hAnsi="Times New Roman" w:eastAsia="方正仿宋_GBK" w:cs="Times New Roman"/>
          <w:sz w:val="32"/>
          <w:szCs w:val="32"/>
        </w:rPr>
        <w:t>能源结构和布局进一步优化，可再生能源得到进一步发展，</w:t>
      </w:r>
      <w:r>
        <w:rPr>
          <w:rFonts w:hint="eastAsia" w:ascii="Times New Roman" w:hAnsi="Times New Roman" w:eastAsia="方正仿宋_GBK" w:cs="Times New Roman"/>
          <w:sz w:val="32"/>
          <w:szCs w:val="32"/>
        </w:rPr>
        <w:t>清洁低碳、安全高效、开放融合的现代能源体系初步形成。</w:t>
      </w:r>
    </w:p>
    <w:p>
      <w:pPr>
        <w:spacing w:line="560" w:lineRule="exact"/>
        <w:ind w:firstLine="643" w:firstLineChars="200"/>
        <w:rPr>
          <w:rFonts w:ascii="Times New Roman" w:hAnsi="Times New Roman" w:eastAsia="方正仿宋_GBK" w:cs="Times New Roman"/>
          <w:sz w:val="32"/>
          <w:szCs w:val="32"/>
        </w:rPr>
      </w:pPr>
      <w:bookmarkStart w:id="14" w:name="_Toc5115"/>
      <w:r>
        <w:rPr>
          <w:rFonts w:ascii="Times New Roman" w:hAnsi="Times New Roman" w:eastAsia="方正仿宋_GBK" w:cs="Times New Roman"/>
          <w:b/>
          <w:bCs/>
          <w:sz w:val="32"/>
          <w:szCs w:val="32"/>
        </w:rPr>
        <w:t>1. 能源</w:t>
      </w:r>
      <w:bookmarkEnd w:id="14"/>
      <w:r>
        <w:rPr>
          <w:rFonts w:hint="eastAsia" w:ascii="Times New Roman" w:hAnsi="Times New Roman" w:eastAsia="方正仿宋_GBK" w:cs="Times New Roman"/>
          <w:b/>
          <w:bCs/>
          <w:sz w:val="32"/>
          <w:szCs w:val="32"/>
        </w:rPr>
        <w:t>保障更加安全有力</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建设天然气城市供气管网，完善供电设施，进一步增强本地电力自给率。</w:t>
      </w:r>
    </w:p>
    <w:p>
      <w:pPr>
        <w:spacing w:line="560" w:lineRule="exact"/>
        <w:ind w:firstLine="643" w:firstLineChars="200"/>
        <w:rPr>
          <w:rFonts w:ascii="Times New Roman" w:hAnsi="Times New Roman" w:eastAsia="方正仿宋_GBK" w:cs="Times New Roman"/>
          <w:sz w:val="32"/>
          <w:szCs w:val="32"/>
        </w:rPr>
      </w:pPr>
      <w:bookmarkStart w:id="15" w:name="_Toc3076"/>
      <w:r>
        <w:rPr>
          <w:rFonts w:ascii="Times New Roman" w:hAnsi="Times New Roman" w:eastAsia="方正仿宋_GBK" w:cs="Times New Roman"/>
          <w:b/>
          <w:bCs/>
          <w:sz w:val="32"/>
          <w:szCs w:val="32"/>
        </w:rPr>
        <w:t>2. 能源</w:t>
      </w:r>
      <w:bookmarkEnd w:id="15"/>
      <w:r>
        <w:rPr>
          <w:rFonts w:hint="eastAsia" w:ascii="Times New Roman" w:hAnsi="Times New Roman" w:eastAsia="方正仿宋_GBK" w:cs="Times New Roman"/>
          <w:b/>
          <w:bCs/>
          <w:sz w:val="32"/>
          <w:szCs w:val="32"/>
        </w:rPr>
        <w:t>体系更加清洁低碳</w:t>
      </w:r>
      <w:r>
        <w:rPr>
          <w:rFonts w:ascii="Times New Roman" w:hAnsi="Times New Roman" w:eastAsia="方正仿宋_GBK" w:cs="Times New Roman"/>
          <w:b/>
          <w:bCs/>
          <w:sz w:val="32"/>
          <w:szCs w:val="32"/>
        </w:rPr>
        <w:t>。</w:t>
      </w:r>
      <w:r>
        <w:rPr>
          <w:rFonts w:hint="eastAsia" w:ascii="Times New Roman" w:hAnsi="Times New Roman" w:eastAsia="方正仿宋_GBK" w:cs="Times New Roman"/>
          <w:sz w:val="32"/>
          <w:szCs w:val="32"/>
        </w:rPr>
        <w:t>清洁能源逐步成为能源消费增量的主体。煤炭消费零增长，力争到2025年，全区天然气供应规模比2020年增长142.94%，光伏上网电量比2020年增长</w:t>
      </w:r>
      <w:r>
        <w:rPr>
          <w:rFonts w:ascii="Times New Roman" w:hAnsi="Times New Roman" w:eastAsia="方正仿宋_GBK" w:cs="Times New Roman"/>
          <w:sz w:val="32"/>
          <w:szCs w:val="32"/>
        </w:rPr>
        <w:t>4266.98%</w:t>
      </w:r>
      <w:r>
        <w:rPr>
          <w:rFonts w:hint="eastAsia" w:ascii="Times New Roman" w:hAnsi="Times New Roman" w:eastAsia="方正仿宋_GBK" w:cs="Times New Roman"/>
          <w:sz w:val="32"/>
          <w:szCs w:val="32"/>
        </w:rPr>
        <w:t>。</w:t>
      </w:r>
    </w:p>
    <w:p>
      <w:pPr>
        <w:spacing w:line="560" w:lineRule="exact"/>
        <w:ind w:firstLine="643" w:firstLineChars="200"/>
        <w:rPr>
          <w:rFonts w:ascii="Times New Roman" w:hAnsi="Times New Roman" w:eastAsia="方正仿宋_GBK" w:cs="Times New Roman"/>
          <w:sz w:val="32"/>
          <w:szCs w:val="32"/>
        </w:rPr>
      </w:pPr>
      <w:bookmarkStart w:id="16" w:name="_Toc6163"/>
      <w:r>
        <w:rPr>
          <w:rFonts w:hint="eastAsia" w:ascii="Times New Roman" w:hAnsi="Times New Roman" w:eastAsia="方正仿宋_GBK" w:cs="Times New Roman"/>
          <w:b/>
          <w:bCs/>
          <w:sz w:val="32"/>
          <w:szCs w:val="32"/>
        </w:rPr>
        <w:t>3.</w:t>
      </w:r>
      <w:r>
        <w:rPr>
          <w:rFonts w:ascii="Times New Roman" w:hAnsi="Times New Roman" w:eastAsia="方正仿宋_GBK" w:cs="Times New Roman"/>
          <w:b/>
          <w:bCs/>
          <w:sz w:val="32"/>
          <w:szCs w:val="32"/>
        </w:rPr>
        <w:t xml:space="preserve"> 能源</w:t>
      </w:r>
      <w:r>
        <w:rPr>
          <w:rFonts w:hint="eastAsia" w:ascii="Times New Roman" w:hAnsi="Times New Roman" w:eastAsia="方正仿宋_GBK" w:cs="Times New Roman"/>
          <w:b/>
          <w:bCs/>
          <w:sz w:val="32"/>
          <w:szCs w:val="32"/>
        </w:rPr>
        <w:t>服务更加普遍均衡。</w:t>
      </w:r>
      <w:bookmarkEnd w:id="16"/>
      <w:r>
        <w:rPr>
          <w:rFonts w:ascii="Times New Roman" w:hAnsi="Times New Roman" w:eastAsia="方正仿宋_GBK" w:cs="Times New Roman"/>
          <w:sz w:val="32"/>
          <w:szCs w:val="32"/>
        </w:rPr>
        <w:t>提高天然气普</w:t>
      </w:r>
      <w:r>
        <w:rPr>
          <w:rStyle w:val="45"/>
          <w:rFonts w:ascii="Times New Roman" w:eastAsia="方正仿宋_GBK" w:cs="Times New Roman"/>
        </w:rPr>
        <w:t>及率，</w:t>
      </w:r>
      <w:r>
        <w:rPr>
          <w:rFonts w:ascii="Times New Roman" w:hAnsi="Times New Roman" w:eastAsia="方正仿宋_GBK" w:cs="Times New Roman"/>
          <w:sz w:val="32"/>
          <w:szCs w:val="32"/>
        </w:rPr>
        <w:t>城乡居民用能条件</w:t>
      </w:r>
      <w:r>
        <w:rPr>
          <w:rStyle w:val="45"/>
          <w:rFonts w:ascii="Times New Roman" w:eastAsia="方正仿宋_GBK" w:cs="Times New Roman"/>
        </w:rPr>
        <w:t>进一步改</w:t>
      </w:r>
      <w:r>
        <w:rPr>
          <w:rFonts w:ascii="Times New Roman" w:hAnsi="Times New Roman" w:eastAsia="方正仿宋_GBK" w:cs="Times New Roman"/>
          <w:sz w:val="32"/>
          <w:szCs w:val="32"/>
        </w:rPr>
        <w:t>善，人均生活用能</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人均生活用电量较2020年</w:t>
      </w:r>
      <w:r>
        <w:rPr>
          <w:rFonts w:hint="eastAsia" w:ascii="Times New Roman" w:hAnsi="Times New Roman" w:eastAsia="方正仿宋_GBK" w:cs="Times New Roman"/>
          <w:sz w:val="32"/>
          <w:szCs w:val="32"/>
        </w:rPr>
        <w:t>分别</w:t>
      </w:r>
      <w:r>
        <w:rPr>
          <w:rFonts w:ascii="Times New Roman" w:hAnsi="Times New Roman" w:eastAsia="方正仿宋_GBK" w:cs="Times New Roman"/>
          <w:sz w:val="32"/>
          <w:szCs w:val="32"/>
        </w:rPr>
        <w:t>提高</w:t>
      </w:r>
      <w:r>
        <w:rPr>
          <w:rFonts w:hint="eastAsia" w:ascii="Times New Roman" w:hAnsi="Times New Roman" w:eastAsia="方正仿宋_GBK" w:cs="Times New Roman"/>
          <w:sz w:val="32"/>
          <w:szCs w:val="32"/>
        </w:rPr>
        <w:t>127.53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和48.23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建成</w:t>
      </w:r>
      <w:r>
        <w:rPr>
          <w:rFonts w:ascii="Times New Roman" w:hAnsi="Times New Roman" w:eastAsia="方正仿宋_GBK" w:cs="Times New Roman"/>
          <w:bCs/>
          <w:sz w:val="32"/>
          <w:szCs w:val="32"/>
        </w:rPr>
        <w:t>电动汽车充电基础设施服务网络，</w:t>
      </w:r>
      <w:r>
        <w:rPr>
          <w:rFonts w:ascii="Times New Roman" w:hAnsi="Times New Roman" w:eastAsia="方正仿宋_GBK" w:cs="Times New Roman"/>
          <w:sz w:val="32"/>
          <w:szCs w:val="32"/>
        </w:rPr>
        <w:t>“十四五”期间建设</w:t>
      </w:r>
      <w:r>
        <w:rPr>
          <w:rFonts w:hint="eastAsia" w:ascii="Times New Roman" w:hAnsi="Times New Roman" w:eastAsia="方正仿宋_GBK" w:cs="Times New Roman"/>
          <w:sz w:val="32"/>
          <w:szCs w:val="32"/>
        </w:rPr>
        <w:t>健全</w:t>
      </w:r>
      <w:r>
        <w:rPr>
          <w:rFonts w:ascii="Times New Roman" w:hAnsi="Times New Roman" w:eastAsia="方正仿宋_GBK" w:cs="Times New Roman"/>
          <w:sz w:val="32"/>
          <w:szCs w:val="32"/>
        </w:rPr>
        <w:t>各类型充电设施。</w:t>
      </w:r>
    </w:p>
    <w:p>
      <w:pPr>
        <w:rPr>
          <w:rFonts w:ascii="Times New Roman" w:hAnsi="Times New Roman" w:eastAsia="方正仿宋_GBK" w:cs="Times New Roman"/>
          <w:sz w:val="32"/>
          <w:szCs w:val="32"/>
        </w:rPr>
      </w:pPr>
    </w:p>
    <w:p>
      <w:pPr>
        <w:spacing w:line="560" w:lineRule="exact"/>
        <w:jc w:val="center"/>
        <w:rPr>
          <w:rFonts w:ascii="仿宋_GB2312" w:eastAsia="仿宋_GB2312"/>
          <w:b/>
          <w:bCs/>
          <w:sz w:val="28"/>
          <w:szCs w:val="32"/>
        </w:rPr>
      </w:pPr>
      <w:r>
        <w:rPr>
          <w:rFonts w:hint="eastAsia" w:ascii="仿宋_GB2312" w:eastAsia="仿宋_GB2312"/>
          <w:b/>
          <w:bCs/>
          <w:sz w:val="28"/>
          <w:szCs w:val="32"/>
        </w:rPr>
        <w:t>表1 惠阳区“十四五”能源发展主要目标</w:t>
      </w:r>
    </w:p>
    <w:tbl>
      <w:tblPr>
        <w:tblStyle w:val="18"/>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1276"/>
        <w:gridCol w:w="1280"/>
        <w:gridCol w:w="1275"/>
        <w:gridCol w:w="1176"/>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一级指标</w:t>
            </w:r>
          </w:p>
        </w:tc>
        <w:tc>
          <w:tcPr>
            <w:tcW w:w="1276" w:type="dxa"/>
            <w:shd w:val="clear" w:color="auto" w:fill="auto"/>
            <w:noWrap/>
            <w:vAlign w:val="center"/>
          </w:tcPr>
          <w:p>
            <w:pPr>
              <w:widowControl/>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二级指标</w:t>
            </w:r>
          </w:p>
        </w:tc>
        <w:tc>
          <w:tcPr>
            <w:tcW w:w="1280" w:type="dxa"/>
            <w:shd w:val="clear" w:color="auto" w:fill="auto"/>
            <w:noWrap/>
            <w:vAlign w:val="center"/>
          </w:tcPr>
          <w:p>
            <w:pPr>
              <w:widowControl/>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单位</w:t>
            </w:r>
          </w:p>
        </w:tc>
        <w:tc>
          <w:tcPr>
            <w:tcW w:w="1275" w:type="dxa"/>
            <w:shd w:val="clear" w:color="auto" w:fill="auto"/>
            <w:noWrap/>
            <w:vAlign w:val="center"/>
          </w:tcPr>
          <w:p>
            <w:pPr>
              <w:widowControl/>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2020年</w:t>
            </w:r>
          </w:p>
        </w:tc>
        <w:tc>
          <w:tcPr>
            <w:tcW w:w="1176" w:type="dxa"/>
            <w:shd w:val="clear" w:color="auto" w:fill="auto"/>
            <w:noWrap/>
            <w:vAlign w:val="center"/>
          </w:tcPr>
          <w:p>
            <w:pPr>
              <w:widowControl/>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2025年</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年均增速</w:t>
            </w:r>
          </w:p>
          <w:p>
            <w:pPr>
              <w:widowControl/>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[累计]</w:t>
            </w:r>
          </w:p>
        </w:tc>
        <w:tc>
          <w:tcPr>
            <w:tcW w:w="992" w:type="dxa"/>
            <w:shd w:val="clear" w:color="auto" w:fill="auto"/>
            <w:noWrap/>
            <w:vAlign w:val="center"/>
          </w:tcPr>
          <w:p>
            <w:pPr>
              <w:widowControl/>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265" w:type="dxa"/>
            <w:gridSpan w:val="7"/>
            <w:shd w:val="clear" w:color="auto" w:fill="auto"/>
            <w:noWrap/>
            <w:vAlign w:val="center"/>
          </w:tcPr>
          <w:p>
            <w:pPr>
              <w:widowControl/>
              <w:jc w:val="left"/>
              <w:rPr>
                <w:rFonts w:ascii="Times New Roman" w:hAnsi="Times New Roman" w:eastAsia="仿宋_GB2312" w:cs="Times New Roman"/>
                <w:b/>
                <w:sz w:val="24"/>
                <w:szCs w:val="28"/>
              </w:rPr>
            </w:pPr>
            <w:r>
              <w:rPr>
                <w:rFonts w:ascii="Times New Roman" w:hAnsi="Times New Roman" w:eastAsia="仿宋_GB2312" w:cs="Times New Roman"/>
                <w:b/>
                <w:sz w:val="24"/>
                <w:szCs w:val="28"/>
              </w:rPr>
              <w:t>一、总体目标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全社会能源消费总量</w:t>
            </w: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p>
        </w:tc>
        <w:tc>
          <w:tcPr>
            <w:tcW w:w="1280"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万吨标煤</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310.03</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highlight w:val="yellow"/>
              </w:rPr>
            </w:pPr>
            <w:r>
              <w:rPr>
                <w:rFonts w:ascii="Times New Roman" w:hAnsi="Times New Roman" w:eastAsia="仿宋_GB2312" w:cs="Times New Roman"/>
                <w:sz w:val="24"/>
                <w:szCs w:val="28"/>
              </w:rPr>
              <w:t>447.11</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highlight w:val="yellow"/>
              </w:rPr>
            </w:pPr>
            <w:r>
              <w:rPr>
                <w:rFonts w:ascii="Times New Roman" w:hAnsi="Times New Roman" w:eastAsia="仿宋_GB2312" w:cs="Times New Roman"/>
                <w:sz w:val="24"/>
                <w:szCs w:val="28"/>
              </w:rPr>
              <w:t>完成市下达目标</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sz w:val="24"/>
                <w:szCs w:val="28"/>
              </w:rPr>
            </w:pP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全社会用电量</w:t>
            </w:r>
          </w:p>
        </w:tc>
        <w:tc>
          <w:tcPr>
            <w:tcW w:w="1280"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亿千万时</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95.41</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154.95</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10.18%</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sz w:val="24"/>
                <w:szCs w:val="28"/>
              </w:rPr>
            </w:pP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原煤</w:t>
            </w:r>
          </w:p>
        </w:tc>
        <w:tc>
          <w:tcPr>
            <w:tcW w:w="1280"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0</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0</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0%</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sz w:val="24"/>
                <w:szCs w:val="28"/>
              </w:rPr>
            </w:pP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天然气</w:t>
            </w:r>
          </w:p>
        </w:tc>
        <w:tc>
          <w:tcPr>
            <w:tcW w:w="1280"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万Nm³</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highlight w:val="yellow"/>
              </w:rPr>
            </w:pPr>
            <w:r>
              <w:rPr>
                <w:rFonts w:ascii="Times New Roman" w:hAnsi="Times New Roman" w:eastAsia="仿宋_GB2312" w:cs="Times New Roman"/>
                <w:sz w:val="24"/>
                <w:szCs w:val="28"/>
              </w:rPr>
              <w:t>2525.13</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6134.64</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19.43%</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sz w:val="24"/>
                <w:szCs w:val="28"/>
              </w:rPr>
            </w:pP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石油</w:t>
            </w:r>
          </w:p>
        </w:tc>
        <w:tc>
          <w:tcPr>
            <w:tcW w:w="1280"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169.34</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148.82</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-2.55%</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sz w:val="24"/>
                <w:szCs w:val="28"/>
              </w:rPr>
            </w:pP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液化石油气</w:t>
            </w:r>
          </w:p>
        </w:tc>
        <w:tc>
          <w:tcPr>
            <w:tcW w:w="1280"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highlight w:val="yellow"/>
              </w:rPr>
            </w:pPr>
            <w:r>
              <w:rPr>
                <w:rFonts w:ascii="Times New Roman" w:hAnsi="Times New Roman" w:eastAsia="仿宋_GB2312" w:cs="Times New Roman"/>
                <w:sz w:val="24"/>
                <w:szCs w:val="28"/>
              </w:rPr>
              <w:t>18918.95</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26464.63</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6.94%</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265" w:type="dxa"/>
            <w:gridSpan w:val="7"/>
            <w:shd w:val="clear" w:color="auto" w:fill="auto"/>
            <w:noWrap/>
            <w:vAlign w:val="center"/>
          </w:tcPr>
          <w:p>
            <w:pPr>
              <w:widowControl/>
              <w:jc w:val="left"/>
              <w:rPr>
                <w:rFonts w:ascii="Times New Roman" w:hAnsi="Times New Roman" w:eastAsia="仿宋_GB2312" w:cs="Times New Roman"/>
                <w:sz w:val="24"/>
                <w:szCs w:val="28"/>
              </w:rPr>
            </w:pPr>
            <w:r>
              <w:rPr>
                <w:rFonts w:ascii="Times New Roman" w:hAnsi="Times New Roman" w:eastAsia="仿宋_GB2312" w:cs="Times New Roman"/>
                <w:b/>
                <w:bCs/>
                <w:sz w:val="24"/>
                <w:szCs w:val="28"/>
              </w:rPr>
              <w:t>二、安全目标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电力装机容量</w:t>
            </w: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p>
        </w:tc>
        <w:tc>
          <w:tcPr>
            <w:tcW w:w="1280"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5.22</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23.27</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[346.05%]</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燃气管网历程</w:t>
            </w:r>
            <w:r>
              <w:rPr>
                <w:rStyle w:val="25"/>
                <w:rFonts w:ascii="Times New Roman" w:hAnsi="Times New Roman" w:eastAsia="仿宋_GB2312" w:cs="Times New Roman"/>
                <w:sz w:val="24"/>
                <w:szCs w:val="28"/>
              </w:rPr>
              <w:footnoteReference w:id="1"/>
            </w: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p>
        </w:tc>
        <w:tc>
          <w:tcPr>
            <w:tcW w:w="1280"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公里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191.62</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452</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[136.88%]</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265" w:type="dxa"/>
            <w:gridSpan w:val="7"/>
            <w:shd w:val="clear" w:color="auto" w:fill="auto"/>
            <w:noWrap/>
            <w:vAlign w:val="center"/>
          </w:tcPr>
          <w:p>
            <w:pPr>
              <w:widowControl/>
              <w:jc w:val="left"/>
              <w:rPr>
                <w:rFonts w:ascii="Times New Roman" w:hAnsi="Times New Roman" w:eastAsia="仿宋_GB2312" w:cs="Times New Roman"/>
                <w:sz w:val="24"/>
                <w:szCs w:val="28"/>
              </w:rPr>
            </w:pPr>
            <w:r>
              <w:rPr>
                <w:rFonts w:ascii="Times New Roman" w:hAnsi="Times New Roman" w:eastAsia="仿宋_GB2312" w:cs="Times New Roman"/>
                <w:b/>
                <w:bCs/>
                <w:sz w:val="24"/>
                <w:szCs w:val="28"/>
              </w:rPr>
              <w:t>三、结构目标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煤炭占比</w:t>
            </w: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p>
        </w:tc>
        <w:tc>
          <w:tcPr>
            <w:tcW w:w="1280"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highlight w:val="yellow"/>
              </w:rPr>
            </w:pPr>
            <w:r>
              <w:rPr>
                <w:rFonts w:ascii="Times New Roman" w:hAnsi="Times New Roman" w:eastAsia="仿宋_GB2312" w:cs="Times New Roman"/>
                <w:sz w:val="24"/>
                <w:szCs w:val="28"/>
              </w:rPr>
              <w:t>0%</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0%</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[0]</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石油制品占比</w:t>
            </w: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p>
        </w:tc>
        <w:tc>
          <w:tcPr>
            <w:tcW w:w="1280"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highlight w:val="yellow"/>
              </w:rPr>
            </w:pPr>
            <w:r>
              <w:rPr>
                <w:rFonts w:ascii="Times New Roman" w:hAnsi="Times New Roman" w:eastAsia="仿宋_GB2312" w:cs="Times New Roman"/>
                <w:sz w:val="24"/>
                <w:szCs w:val="28"/>
              </w:rPr>
              <w:t>2.17%</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0.01%</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[-2.17]</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清洁能源占比</w:t>
            </w:r>
            <w:r>
              <w:rPr>
                <w:rStyle w:val="25"/>
                <w:rFonts w:ascii="Times New Roman" w:hAnsi="Times New Roman" w:eastAsia="仿宋_GB2312" w:cs="Times New Roman"/>
                <w:sz w:val="24"/>
                <w:szCs w:val="28"/>
              </w:rPr>
              <w:footnoteReference w:id="2"/>
            </w: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p>
        </w:tc>
        <w:tc>
          <w:tcPr>
            <w:tcW w:w="1280"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highlight w:val="yellow"/>
              </w:rPr>
            </w:pPr>
            <w:r>
              <w:rPr>
                <w:rFonts w:ascii="Times New Roman" w:hAnsi="Times New Roman" w:eastAsia="仿宋_GB2312" w:cs="Times New Roman"/>
                <w:sz w:val="24"/>
                <w:szCs w:val="28"/>
              </w:rPr>
              <w:t>97.83%</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99.99%</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bookmarkStart w:id="17" w:name="RANGE!J12"/>
            <w:r>
              <w:rPr>
                <w:rFonts w:ascii="Times New Roman" w:hAnsi="Times New Roman" w:eastAsia="仿宋_GB2312" w:cs="Times New Roman"/>
                <w:sz w:val="24"/>
                <w:szCs w:val="28"/>
              </w:rPr>
              <w:t>[</w:t>
            </w:r>
            <w:bookmarkEnd w:id="17"/>
            <w:r>
              <w:rPr>
                <w:rFonts w:ascii="Times New Roman" w:hAnsi="Times New Roman" w:eastAsia="仿宋_GB2312" w:cs="Times New Roman"/>
                <w:sz w:val="24"/>
                <w:szCs w:val="28"/>
              </w:rPr>
              <w:t>2.17]</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265" w:type="dxa"/>
            <w:gridSpan w:val="7"/>
            <w:shd w:val="clear" w:color="auto" w:fill="auto"/>
            <w:noWrap/>
            <w:vAlign w:val="center"/>
          </w:tcPr>
          <w:p>
            <w:pPr>
              <w:widowControl/>
              <w:jc w:val="left"/>
              <w:rPr>
                <w:rFonts w:ascii="Times New Roman" w:hAnsi="Times New Roman" w:eastAsia="仿宋_GB2312" w:cs="Times New Roman"/>
                <w:sz w:val="24"/>
                <w:szCs w:val="28"/>
              </w:rPr>
            </w:pPr>
            <w:r>
              <w:rPr>
                <w:rFonts w:ascii="Times New Roman" w:hAnsi="Times New Roman" w:eastAsia="仿宋_GB2312" w:cs="Times New Roman"/>
                <w:b/>
                <w:bCs/>
                <w:sz w:val="24"/>
                <w:szCs w:val="28"/>
              </w:rPr>
              <w:t>四、效率目标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vMerge w:val="restart"/>
            <w:shd w:val="clear" w:color="auto" w:fill="auto"/>
            <w:noWrap/>
            <w:vAlign w:val="center"/>
          </w:tcPr>
          <w:p>
            <w:pPr>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单位GDP能耗变化</w:t>
            </w: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基本目标</w:t>
            </w:r>
          </w:p>
        </w:tc>
        <w:tc>
          <w:tcPr>
            <w:tcW w:w="1280"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[-14.50]</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vMerge w:val="continue"/>
            <w:shd w:val="clear" w:color="auto" w:fill="auto"/>
            <w:noWrap/>
            <w:vAlign w:val="center"/>
          </w:tcPr>
          <w:p>
            <w:pPr>
              <w:widowControl/>
              <w:jc w:val="center"/>
              <w:rPr>
                <w:rFonts w:ascii="Times New Roman" w:hAnsi="Times New Roman" w:eastAsia="仿宋_GB2312" w:cs="Times New Roman"/>
                <w:sz w:val="24"/>
                <w:szCs w:val="28"/>
              </w:rPr>
            </w:pP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激励目标</w:t>
            </w:r>
          </w:p>
        </w:tc>
        <w:tc>
          <w:tcPr>
            <w:tcW w:w="1280"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[-15.00]</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人均生活用能</w:t>
            </w: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p>
        </w:tc>
        <w:tc>
          <w:tcPr>
            <w:tcW w:w="1280" w:type="dxa"/>
            <w:tcBorders>
              <w:bottom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吨标煤/人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highlight w:val="yellow"/>
              </w:rPr>
            </w:pPr>
            <w:r>
              <w:rPr>
                <w:rFonts w:ascii="Times New Roman" w:hAnsi="Times New Roman" w:eastAsia="仿宋_GB2312" w:cs="Times New Roman"/>
                <w:sz w:val="24"/>
                <w:szCs w:val="28"/>
              </w:rPr>
              <w:t>0.71</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1.61</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[127.53%]</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人均生活用电量</w:t>
            </w: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p>
        </w:tc>
        <w:tc>
          <w:tcPr>
            <w:tcW w:w="1280" w:type="dxa"/>
            <w:tcBorders>
              <w:top w:val="single" w:color="auto" w:sz="4" w:space="0"/>
              <w:bottom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千万时/人</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highlight w:val="yellow"/>
              </w:rPr>
            </w:pPr>
            <w:r>
              <w:rPr>
                <w:rFonts w:ascii="Times New Roman" w:hAnsi="Times New Roman" w:eastAsia="仿宋_GB2312" w:cs="Times New Roman"/>
                <w:sz w:val="24"/>
                <w:szCs w:val="28"/>
              </w:rPr>
              <w:t>1474.02</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2185</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[48.23%]</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265" w:type="dxa"/>
            <w:gridSpan w:val="7"/>
            <w:shd w:val="clear" w:color="auto" w:fill="auto"/>
            <w:noWrap/>
            <w:vAlign w:val="center"/>
          </w:tcPr>
          <w:p>
            <w:pPr>
              <w:widowControl/>
              <w:jc w:val="left"/>
              <w:rPr>
                <w:rFonts w:ascii="Times New Roman" w:hAnsi="Times New Roman" w:eastAsia="仿宋_GB2312" w:cs="Times New Roman"/>
                <w:sz w:val="24"/>
                <w:szCs w:val="28"/>
              </w:rPr>
            </w:pPr>
            <w:r>
              <w:rPr>
                <w:rFonts w:ascii="Times New Roman" w:hAnsi="Times New Roman" w:eastAsia="仿宋_GB2312" w:cs="Times New Roman"/>
                <w:b/>
                <w:bCs/>
                <w:sz w:val="24"/>
                <w:szCs w:val="28"/>
              </w:rPr>
              <w:t>五、环境目标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8"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单位GDP二氧化碳排放降低</w:t>
            </w:r>
          </w:p>
        </w:tc>
        <w:tc>
          <w:tcPr>
            <w:tcW w:w="1276" w:type="dxa"/>
            <w:shd w:val="clear" w:color="auto" w:fill="auto"/>
            <w:noWrap/>
            <w:vAlign w:val="center"/>
          </w:tcPr>
          <w:p>
            <w:pPr>
              <w:widowControl/>
              <w:jc w:val="center"/>
              <w:rPr>
                <w:rFonts w:ascii="Times New Roman" w:hAnsi="Times New Roman" w:eastAsia="仿宋_GB2312" w:cs="Times New Roman"/>
                <w:sz w:val="24"/>
                <w:szCs w:val="28"/>
              </w:rPr>
            </w:pPr>
          </w:p>
        </w:tc>
        <w:tc>
          <w:tcPr>
            <w:tcW w:w="1280" w:type="dxa"/>
            <w:tcBorders>
              <w:top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完成市下达目标</w:t>
            </w:r>
          </w:p>
        </w:tc>
        <w:tc>
          <w:tcPr>
            <w:tcW w:w="992" w:type="dxa"/>
            <w:shd w:val="clear" w:color="auto" w:fill="auto"/>
            <w:noWrap/>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约束性</w:t>
            </w:r>
          </w:p>
        </w:tc>
      </w:tr>
    </w:tbl>
    <w:p>
      <w:pPr>
        <w:pStyle w:val="2"/>
        <w:ind w:firstLine="0" w:firstLineChars="0"/>
        <w:sectPr>
          <w:pgSz w:w="11906" w:h="16838"/>
          <w:pgMar w:top="1440" w:right="1797" w:bottom="1440" w:left="1797" w:header="851" w:footer="992" w:gutter="0"/>
          <w:cols w:space="425" w:num="1"/>
          <w:docGrid w:linePitch="312" w:charSpace="0"/>
        </w:sectPr>
      </w:pPr>
    </w:p>
    <w:p>
      <w:pPr>
        <w:pStyle w:val="2"/>
        <w:spacing w:line="580" w:lineRule="exact"/>
        <w:ind w:firstLine="0" w:firstLineChars="0"/>
        <w:jc w:val="center"/>
        <w:rPr>
          <w:rFonts w:ascii="方正黑体_GBK" w:hAnsi="方正黑体_GBK" w:eastAsia="方正黑体_GBK" w:cs="方正黑体_GBK"/>
          <w:sz w:val="36"/>
          <w:szCs w:val="48"/>
        </w:rPr>
      </w:pPr>
      <w:bookmarkStart w:id="18" w:name="_Toc4709"/>
      <w:bookmarkStart w:id="19" w:name="_Toc3237"/>
      <w:r>
        <w:rPr>
          <w:rFonts w:hint="eastAsia" w:ascii="方正黑体_GBK" w:hAnsi="方正黑体_GBK" w:eastAsia="方正黑体_GBK" w:cs="方正黑体_GBK"/>
          <w:sz w:val="36"/>
          <w:szCs w:val="48"/>
        </w:rPr>
        <w:t xml:space="preserve">第三章 </w:t>
      </w:r>
      <w:bookmarkEnd w:id="18"/>
      <w:r>
        <w:rPr>
          <w:rFonts w:hint="eastAsia" w:ascii="方正黑体_GBK" w:hAnsi="方正黑体_GBK" w:eastAsia="方正黑体_GBK" w:cs="方正黑体_GBK"/>
          <w:sz w:val="36"/>
          <w:szCs w:val="48"/>
        </w:rPr>
        <w:t>加快构建安全高效清洁低碳的现代能源体系</w:t>
      </w:r>
      <w:bookmarkEnd w:id="19"/>
    </w:p>
    <w:p/>
    <w:p>
      <w:pPr>
        <w:pStyle w:val="3"/>
        <w:spacing w:line="580" w:lineRule="exact"/>
        <w:ind w:firstLine="0" w:firstLineChars="0"/>
        <w:jc w:val="center"/>
        <w:rPr>
          <w:rFonts w:eastAsia="楷体" w:cs="方正黑体_GBK"/>
        </w:rPr>
      </w:pPr>
      <w:bookmarkStart w:id="20" w:name="_Toc14276"/>
      <w:bookmarkStart w:id="21" w:name="_Toc15779"/>
      <w:r>
        <w:rPr>
          <w:rFonts w:hint="eastAsia" w:eastAsia="楷体" w:cs="方正黑体_GBK"/>
        </w:rPr>
        <w:t xml:space="preserve">第一节 </w:t>
      </w:r>
      <w:bookmarkEnd w:id="20"/>
      <w:r>
        <w:rPr>
          <w:rFonts w:hint="eastAsia" w:eastAsia="楷体" w:cs="方正黑体_GBK"/>
        </w:rPr>
        <w:t>完善产供储销体系，增强能源安全供给保障</w:t>
      </w:r>
      <w:bookmarkEnd w:id="21"/>
    </w:p>
    <w:p/>
    <w:p>
      <w:pPr>
        <w:pStyle w:val="44"/>
        <w:ind w:firstLine="640"/>
        <w:rPr>
          <w:rFonts w:ascii="Times New Roman" w:eastAsia="方正仿宋_GBK"/>
        </w:rPr>
      </w:pPr>
      <w:r>
        <w:rPr>
          <w:rFonts w:hint="eastAsia" w:ascii="Times New Roman" w:eastAsia="方正仿宋_GBK"/>
        </w:rPr>
        <w:t>坚持安全为本，强化底线思维，补齐短板、多元保障、强化储备，完善能源产供储销体系，确保能源安全稳定供应和经济平稳发展。</w:t>
      </w:r>
    </w:p>
    <w:p>
      <w:pPr>
        <w:pStyle w:val="44"/>
        <w:ind w:firstLine="643"/>
        <w:rPr>
          <w:rFonts w:ascii="Times New Roman" w:eastAsia="方正仿宋_GBK"/>
          <w:b/>
          <w:bCs/>
          <w:u w:val="wave"/>
        </w:rPr>
      </w:pPr>
      <w:r>
        <w:rPr>
          <w:rFonts w:hint="eastAsia" w:ascii="Times New Roman" w:eastAsia="方正仿宋_GBK"/>
          <w:b/>
          <w:bCs/>
        </w:rPr>
        <w:t>1.</w:t>
      </w:r>
      <w:r>
        <w:rPr>
          <w:rFonts w:ascii="Times New Roman" w:eastAsia="方正仿宋_GBK"/>
          <w:b/>
          <w:bCs/>
        </w:rPr>
        <w:t xml:space="preserve"> </w:t>
      </w:r>
      <w:r>
        <w:rPr>
          <w:rFonts w:hint="eastAsia" w:ascii="Times New Roman" w:eastAsia="方正仿宋_GBK"/>
          <w:b/>
          <w:bCs/>
        </w:rPr>
        <w:t>推动可再生能源发展。</w:t>
      </w:r>
      <w:r>
        <w:rPr>
          <w:rFonts w:hint="eastAsia" w:ascii="Times New Roman" w:eastAsia="方正仿宋_GBK"/>
        </w:rPr>
        <w:t>鼓励社会资本积极投资光伏发电系统建设</w:t>
      </w:r>
      <w:r>
        <w:rPr>
          <w:rFonts w:hint="eastAsia" w:ascii="Times New Roman" w:eastAsia="方正仿宋_GBK"/>
          <w:lang w:eastAsia="zh-CN"/>
        </w:rPr>
        <w:t>，</w:t>
      </w:r>
      <w:r>
        <w:rPr>
          <w:rFonts w:hint="eastAsia" w:ascii="Times New Roman" w:eastAsia="方正仿宋_GBK"/>
        </w:rPr>
        <w:t>探索“光储网”融合、虚拟电厂等智能光伏技术，促进电网供需平衡，推动光伏发电新一轮降本增效。</w:t>
      </w:r>
      <w:r>
        <w:rPr>
          <w:rFonts w:hint="eastAsia" w:ascii="Times New Roman" w:eastAsia="方正仿宋_GBK"/>
          <w:lang w:val="en-US" w:eastAsia="zh-CN"/>
        </w:rPr>
        <w:t>充分</w:t>
      </w:r>
      <w:r>
        <w:rPr>
          <w:rFonts w:hint="eastAsia" w:ascii="Times New Roman" w:eastAsia="方正仿宋_GBK"/>
        </w:rPr>
        <w:t>利用种植业、养殖业发展棚面光伏、渔光互补等多种光伏模式，鼓励开发新农村光伏复合项目，提高土地利用率和产出效益。优化发展垃圾发电，做好环境园一期、二期垃圾处理项目运营日常监管工作，同时，加强垃圾堆体位移检测和臭气环保监测，保持垃圾堆体稳定，确保项目环保、安全、稳定运行。利用农村地区生物质能分布广、供应稳定的优势，规模化粪污等有机垃圾集中处理工程，推进沼气生态循环农业建设，建设完善农村分布式清洁能源网络。</w:t>
      </w:r>
    </w:p>
    <w:p>
      <w:pPr>
        <w:pStyle w:val="44"/>
        <w:ind w:firstLine="643"/>
        <w:rPr>
          <w:rFonts w:ascii="Times New Roman" w:eastAsia="方正仿宋_GBK"/>
        </w:rPr>
      </w:pPr>
      <w:r>
        <w:rPr>
          <w:rFonts w:hint="eastAsia" w:ascii="Times New Roman" w:eastAsia="方正仿宋_GBK"/>
          <w:b/>
          <w:bCs/>
        </w:rPr>
        <w:t>2.</w:t>
      </w:r>
      <w:r>
        <w:rPr>
          <w:rFonts w:ascii="Times New Roman" w:eastAsia="方正仿宋_GBK"/>
          <w:b/>
          <w:bCs/>
        </w:rPr>
        <w:t xml:space="preserve"> </w:t>
      </w:r>
      <w:r>
        <w:rPr>
          <w:rFonts w:hint="eastAsia" w:ascii="Times New Roman" w:eastAsia="方正仿宋_GBK"/>
          <w:b/>
          <w:bCs/>
        </w:rPr>
        <w:t>健全天然气管网体系。</w:t>
      </w:r>
      <w:r>
        <w:rPr>
          <w:rFonts w:hint="eastAsia" w:ascii="Times New Roman" w:eastAsia="方正仿宋_GBK"/>
        </w:rPr>
        <w:t>按照广东省天然气“全省一张网”的建设部署，重点推进西气东输惠州段、天然气管网建设，合理建设天然气接收站和应急调峰储气设施，加快新区燃气主干管网、加气站建设，形成内外联通、多源保障、统一调配的天然气供应网络。着力推进建设天然气场站、液化石油气场站、建设惠阳区与周边城市市政燃气管网气源互通等石油天然气项目的进行。推进天然气置换工程，依据建成的燃气管道和天然气的来气方向，逐步置换原有液化石油气供应用户，不断推进惠民的能源供应工程，提升能源共享的普惠服务能力；开展天然气分布式能源项目试点工程，优先在</w:t>
      </w:r>
      <w:r>
        <w:rPr>
          <w:rFonts w:hint="eastAsia" w:ascii="Times New Roman" w:eastAsia="方正仿宋_GBK"/>
          <w:lang w:eastAsia="zh-CN"/>
        </w:rPr>
        <w:t>惠阳区新材料产业园</w:t>
      </w:r>
      <w:r>
        <w:rPr>
          <w:rFonts w:hint="eastAsia" w:ascii="Times New Roman" w:eastAsia="方正仿宋_GBK"/>
        </w:rPr>
        <w:t>、镇隆镇新能源材料集聚基地布点若干天然气分布式能源项目形成示范带动效应，争取到2025年工业园区天然气利用规模比2020年翻一番。</w:t>
      </w:r>
    </w:p>
    <w:p>
      <w:pPr>
        <w:pStyle w:val="44"/>
        <w:ind w:firstLine="643"/>
        <w:rPr>
          <w:rFonts w:ascii="Times New Roman" w:eastAsia="方正仿宋_GBK"/>
        </w:rPr>
      </w:pPr>
      <w:r>
        <w:rPr>
          <w:rFonts w:hint="eastAsia" w:ascii="Times New Roman" w:eastAsia="方正仿宋_GBK"/>
          <w:b/>
          <w:bCs/>
        </w:rPr>
        <w:t>3.</w:t>
      </w:r>
      <w:r>
        <w:rPr>
          <w:rFonts w:ascii="Times New Roman" w:eastAsia="方正仿宋_GBK"/>
          <w:b/>
          <w:bCs/>
        </w:rPr>
        <w:t xml:space="preserve"> </w:t>
      </w:r>
      <w:r>
        <w:rPr>
          <w:rFonts w:hint="eastAsia" w:ascii="Times New Roman" w:eastAsia="方正仿宋_GBK"/>
          <w:b/>
          <w:bCs/>
        </w:rPr>
        <w:t>维持煤炭消费零增长。</w:t>
      </w:r>
      <w:r>
        <w:rPr>
          <w:rFonts w:hint="eastAsia" w:ascii="Times New Roman" w:eastAsia="方正仿宋_GBK"/>
        </w:rPr>
        <w:t>继续保持能源消费结构煤炭占比低位优势，禁止新、扩建钢铁、石化、平板玻璃（特殊品种的优质浮法玻璃项目除外）和有色金属冶炼等重污染项目，做好新增产能与化解过剩产能衔接，保持“十四五“期间煤炭消费零增长，为打造清洁低碳能源新体系奠定基础。</w:t>
      </w:r>
    </w:p>
    <w:p>
      <w:pPr>
        <w:pStyle w:val="44"/>
        <w:ind w:firstLine="643"/>
        <w:rPr>
          <w:rFonts w:ascii="Times New Roman" w:eastAsia="方正仿宋_GBK"/>
        </w:rPr>
      </w:pPr>
      <w:r>
        <w:rPr>
          <w:rFonts w:hint="eastAsia" w:ascii="Times New Roman" w:eastAsia="方正仿宋_GBK"/>
          <w:b/>
          <w:bCs/>
        </w:rPr>
        <w:t>4.</w:t>
      </w:r>
      <w:r>
        <w:rPr>
          <w:rFonts w:ascii="Times New Roman" w:eastAsia="方正仿宋_GBK"/>
          <w:b/>
          <w:bCs/>
        </w:rPr>
        <w:t xml:space="preserve"> </w:t>
      </w:r>
      <w:r>
        <w:rPr>
          <w:rFonts w:hint="eastAsia" w:ascii="Times New Roman" w:eastAsia="方正仿宋_GBK"/>
          <w:b/>
          <w:bCs/>
        </w:rPr>
        <w:t>优化油品供应网络</w:t>
      </w:r>
      <w:r>
        <w:rPr>
          <w:rFonts w:hint="eastAsia" w:ascii="Times New Roman" w:eastAsia="方正仿宋_GBK"/>
        </w:rPr>
        <w:t>。结合城市建设和油气电管网发展，因地制宜布局建设城市加油站、充电基础设施、液化石油气配送站、油气氢电综合加能站，引导传统化石能源与新能源融合互补发展。按照惠州市成品油分销体系规划加快建设加油站，增强成品油供应保障能力</w:t>
      </w:r>
      <w:r>
        <w:rPr>
          <w:rStyle w:val="25"/>
          <w:rFonts w:ascii="Times New Roman" w:eastAsia="方正仿宋_GBK"/>
        </w:rPr>
        <w:footnoteReference w:id="3"/>
      </w:r>
      <w:r>
        <w:rPr>
          <w:rFonts w:hint="eastAsia" w:ascii="Times New Roman" w:eastAsia="方正仿宋_GBK"/>
        </w:rPr>
        <w:t>；完善油站应急储备、中转仓储和配送中心功能，提升保障和配送能力；严格执行《汽车加油加气加氢站技术标准》、《危险化学品安全管理条例》等法规和技术规范，严格执行国家有关成品油经营管理的政策规定，确保新建加油站规划布点建成投产率不低于80%。</w:t>
      </w:r>
    </w:p>
    <w:p>
      <w:pPr>
        <w:pStyle w:val="44"/>
        <w:ind w:firstLine="643"/>
        <w:rPr>
          <w:rFonts w:ascii="Times New Roman" w:eastAsia="方正仿宋_GBK"/>
        </w:rPr>
      </w:pPr>
      <w:r>
        <w:rPr>
          <w:rFonts w:hint="eastAsia" w:ascii="Times New Roman" w:eastAsia="方正仿宋_GBK"/>
          <w:b/>
          <w:bCs/>
        </w:rPr>
        <w:t>5</w:t>
      </w:r>
      <w:r>
        <w:rPr>
          <w:rFonts w:ascii="Times New Roman" w:eastAsia="方正仿宋_GBK"/>
          <w:b/>
          <w:bCs/>
        </w:rPr>
        <w:t>. 加强能源安全管控。</w:t>
      </w:r>
      <w:r>
        <w:rPr>
          <w:rFonts w:ascii="Times New Roman" w:eastAsia="方正仿宋_GBK"/>
        </w:rPr>
        <w:t>强化能源经济形势分析研判，做好全</w:t>
      </w:r>
      <w:r>
        <w:rPr>
          <w:rFonts w:hint="eastAsia" w:ascii="Times New Roman" w:eastAsia="方正仿宋_GBK"/>
        </w:rPr>
        <w:t>区</w:t>
      </w:r>
      <w:r>
        <w:rPr>
          <w:rFonts w:ascii="Times New Roman" w:eastAsia="方正仿宋_GBK"/>
        </w:rPr>
        <w:t>煤、电、油、气等重要能源产品供应情况及价格走势的跟踪监测，定期形成能源安全保障运行分析报告。加强能源基础设施领域安全监管，落实安全生产专项整治三年行动计划，深入开展安全隐患排查治理，防范遏制重特大安全生产事故的发生。完善电力监控系统安全防控体系，加强电力、油气行业关键信息基础设施安全保护能力建设。加强网络安全关键技术研究，推动建立能源行业、企业网络安全态势感知和监测预警平台，提高风险分析研判和预警能力。建立健全能源应急协调联动机制，做好能源应急保供预案，加强应急演练，提升重点时段、突发事件及恶劣天气下的应急响应能力。</w:t>
      </w:r>
    </w:p>
    <w:p>
      <w:pPr>
        <w:pStyle w:val="44"/>
        <w:ind w:firstLine="640"/>
        <w:rPr>
          <w:rFonts w:ascii="Times New Roman" w:eastAsia="方正仿宋_GBK"/>
        </w:rPr>
      </w:pPr>
    </w:p>
    <w:p>
      <w:pPr>
        <w:pStyle w:val="3"/>
        <w:spacing w:line="580" w:lineRule="exact"/>
        <w:ind w:firstLine="0" w:firstLineChars="0"/>
        <w:jc w:val="center"/>
        <w:rPr>
          <w:rFonts w:eastAsia="楷体" w:cs="方正黑体_GBK"/>
        </w:rPr>
      </w:pPr>
      <w:bookmarkStart w:id="22" w:name="_Toc105"/>
      <w:r>
        <w:rPr>
          <w:rFonts w:hint="eastAsia" w:eastAsia="楷体" w:cs="方正黑体_GBK"/>
        </w:rPr>
        <w:t>第二节 大力发展清洁能源，推动能源绿色低碳转型</w:t>
      </w:r>
      <w:bookmarkEnd w:id="22"/>
    </w:p>
    <w:p>
      <w:pPr>
        <w:pStyle w:val="44"/>
        <w:ind w:firstLine="640"/>
        <w:rPr>
          <w:rFonts w:ascii="Times New Roman" w:eastAsia="方正仿宋_GBK"/>
        </w:rPr>
      </w:pPr>
    </w:p>
    <w:p>
      <w:pPr>
        <w:pStyle w:val="44"/>
        <w:ind w:firstLine="640"/>
        <w:rPr>
          <w:rFonts w:ascii="Times New Roman" w:eastAsia="方正仿宋_GBK"/>
        </w:rPr>
      </w:pPr>
      <w:r>
        <w:rPr>
          <w:rFonts w:hint="eastAsia" w:ascii="Times New Roman" w:eastAsia="方正仿宋_GBK"/>
        </w:rPr>
        <w:t>全面落实碳达峰碳中和战略目标，构建以清洁能源为特色的生产端、消费端综合应用场景。统筹推进光伏、氢能和充电基础设施建设，扩大天然气应用规模，推动生物质能、氢能等新兴能源发展，持续优化能源结构，打造绿色低碳生态发展新优势。</w:t>
      </w:r>
    </w:p>
    <w:p>
      <w:pPr>
        <w:pStyle w:val="44"/>
        <w:ind w:firstLine="643"/>
        <w:rPr>
          <w:rFonts w:ascii="Times New Roman" w:eastAsia="方正仿宋_GBK"/>
          <w:u w:val="wave"/>
        </w:rPr>
      </w:pPr>
      <w:r>
        <w:rPr>
          <w:rFonts w:hint="eastAsia" w:ascii="Times New Roman" w:eastAsia="方正仿宋_GBK"/>
          <w:b/>
          <w:bCs/>
        </w:rPr>
        <w:t>1. 因地制宜推进光伏发展。</w:t>
      </w:r>
      <w:r>
        <w:rPr>
          <w:rFonts w:hint="eastAsia" w:ascii="Times New Roman" w:eastAsia="方正仿宋_GBK"/>
        </w:rPr>
        <w:t>支持鼓励具备建设条件的各级党政机关和医院、学校、科研单位等公共机构及国有资产利用闲置屋顶等资源，加快工商业光伏建设，以工业园区为重点，鼓励工商业用户按照“自发自用，余电上网”的方式推广分布式光伏发电系统，努力创建全国光伏应用示范区项目。结合乡村产业特色，积极推进“光伏+农业开发”、“光伏+新兴商业”、“旅游+文化+新兴产业”、“光伏+环境治理”等多模式光伏电站综合开发建设。</w:t>
      </w:r>
    </w:p>
    <w:p>
      <w:pPr>
        <w:pStyle w:val="44"/>
        <w:ind w:firstLine="643"/>
        <w:rPr>
          <w:rFonts w:ascii="Times New Roman" w:eastAsia="方正仿宋_GBK"/>
        </w:rPr>
      </w:pPr>
      <w:r>
        <w:rPr>
          <w:rFonts w:hint="eastAsia" w:ascii="Times New Roman" w:eastAsia="方正仿宋_GBK"/>
          <w:b/>
          <w:bCs/>
        </w:rPr>
        <w:t>2.</w:t>
      </w:r>
      <w:r>
        <w:rPr>
          <w:rFonts w:ascii="Times New Roman" w:eastAsia="方正仿宋_GBK"/>
          <w:b/>
          <w:bCs/>
        </w:rPr>
        <w:t xml:space="preserve"> </w:t>
      </w:r>
      <w:r>
        <w:rPr>
          <w:rFonts w:hint="eastAsia" w:ascii="Times New Roman" w:eastAsia="方正仿宋_GBK"/>
          <w:b/>
          <w:bCs/>
        </w:rPr>
        <w:t>加快</w:t>
      </w:r>
      <w:r>
        <w:rPr>
          <w:rFonts w:hint="eastAsia" w:ascii="Times New Roman" w:eastAsia="方正仿宋_GBK"/>
          <w:b/>
          <w:bCs/>
          <w:lang w:val="en-US" w:eastAsia="zh-CN"/>
        </w:rPr>
        <w:t>公共</w:t>
      </w:r>
      <w:r>
        <w:rPr>
          <w:rFonts w:hint="eastAsia" w:ascii="Times New Roman" w:eastAsia="方正仿宋_GBK"/>
          <w:b/>
          <w:bCs/>
        </w:rPr>
        <w:t>充电设施建设。</w:t>
      </w:r>
      <w:r>
        <w:rPr>
          <w:rFonts w:hint="eastAsia" w:ascii="Times New Roman" w:eastAsia="方正仿宋_GBK"/>
        </w:rPr>
        <w:t>以国家电动汽车发展战略为指导，以纯电动汽车应用为重点，在全区加快充电基础设施建设，以推动新能源电动汽车的推广应用。“十四五”期间计划本区建设各类型充电设施共1744个。重点结合住宅区与单位停车位配建充电桩，新增</w:t>
      </w:r>
      <w:r>
        <w:rPr>
          <w:rFonts w:ascii="Times New Roman" w:eastAsia="方正仿宋_GBK"/>
        </w:rPr>
        <w:t>1540</w:t>
      </w:r>
      <w:r>
        <w:rPr>
          <w:rFonts w:hint="eastAsia" w:ascii="Times New Roman" w:eastAsia="方正仿宋_GBK"/>
        </w:rPr>
        <w:t>个用户专用充电桩，进一步解决电动汽车用户充电难以及应急充电问题。推进建设公交车充换电站10座，解决公共交通停车场及充电站紧缺问题，作为充电模式运营模式示范点，为全面推广新能源公共用车创造条件；在区内城市电动汽车充电站38座，遍及主城区各主要商业中心及大型停车场，建设完成充电设施网络大框架。</w:t>
      </w:r>
    </w:p>
    <w:p>
      <w:pPr>
        <w:pStyle w:val="44"/>
        <w:ind w:firstLine="643"/>
        <w:rPr>
          <w:rFonts w:ascii="Times New Roman" w:eastAsia="方正仿宋_GBK"/>
        </w:rPr>
      </w:pPr>
      <w:r>
        <w:rPr>
          <w:rFonts w:hint="eastAsia" w:ascii="Times New Roman" w:eastAsia="方正仿宋_GBK"/>
          <w:b/>
          <w:bCs/>
        </w:rPr>
        <w:t>3.</w:t>
      </w:r>
      <w:r>
        <w:rPr>
          <w:rFonts w:ascii="Times New Roman" w:eastAsia="方正仿宋_GBK"/>
          <w:b/>
          <w:bCs/>
        </w:rPr>
        <w:t xml:space="preserve"> </w:t>
      </w:r>
      <w:r>
        <w:rPr>
          <w:rFonts w:hint="eastAsia" w:ascii="Times New Roman" w:eastAsia="方正仿宋_GBK"/>
          <w:b/>
          <w:bCs/>
        </w:rPr>
        <w:t>有序扩大然气应用市场。</w:t>
      </w:r>
      <w:r>
        <w:rPr>
          <w:rFonts w:hint="eastAsia" w:ascii="Times New Roman" w:eastAsia="方正仿宋_GBK"/>
        </w:rPr>
        <w:t>坚持深化市场化改革、扩大高水平开放，鼓励和支持天然气管网设施互联互通和公平接入，按照“全市一张管网、多路气源互补、同网同质同价”的原则，形成内外联通、多源保障、统一调配的供应网络，逐步实现油气资源在不同管网设施间的灵活调配；整合现有燃气资源，加强与上游气源项目对接，积极培育和拓展用气市场，大力提高管道气化率，逐步建立统一规划、统一建设、统一调度、统一管理、安全可靠的燃气供应新格局。加强城镇燃气配送环节价格监管，推动天然气价格化实践，建立由市场决定价格的机制，形成企业优胜劣汰的市场价格环境，通过价格信号引导企业进行有效能源投资和节能减排技术的研发创新，提升天然气安全稳定供应保障能力。</w:t>
      </w:r>
    </w:p>
    <w:p>
      <w:pPr>
        <w:pStyle w:val="44"/>
        <w:ind w:firstLine="643"/>
        <w:rPr>
          <w:rFonts w:ascii="Times New Roman" w:eastAsia="方正仿宋_GBK"/>
        </w:rPr>
      </w:pPr>
      <w:r>
        <w:rPr>
          <w:rFonts w:hint="eastAsia" w:ascii="Times New Roman" w:eastAsia="方正仿宋_GBK"/>
          <w:b/>
          <w:bCs/>
        </w:rPr>
        <w:t>4.</w:t>
      </w:r>
      <w:r>
        <w:rPr>
          <w:rFonts w:ascii="Times New Roman" w:eastAsia="方正仿宋_GBK"/>
          <w:b/>
          <w:bCs/>
        </w:rPr>
        <w:t xml:space="preserve"> </w:t>
      </w:r>
      <w:r>
        <w:rPr>
          <w:rFonts w:hint="eastAsia" w:ascii="Times New Roman" w:eastAsia="方正仿宋_GBK"/>
          <w:b/>
          <w:bCs/>
          <w:lang w:val="en-US" w:eastAsia="zh-CN"/>
        </w:rPr>
        <w:t>不断推动</w:t>
      </w:r>
      <w:r>
        <w:rPr>
          <w:rFonts w:hint="eastAsia" w:ascii="Times New Roman" w:eastAsia="方正仿宋_GBK"/>
          <w:b/>
          <w:bCs/>
        </w:rPr>
        <w:t>储能产业发展。</w:t>
      </w:r>
      <w:r>
        <w:rPr>
          <w:rFonts w:hint="eastAsia" w:ascii="Times New Roman" w:eastAsia="方正仿宋_GBK"/>
        </w:rPr>
        <w:t>建立以储能为核心的多能互补体系，充分利用区内新材料产业发展带动，研究建设储能电站气站，以智能电网为基础接入可再生能源，电力网与热力管网、天然气管网、交运管网等多种类型网络互连互通，多种能源形态协同转化、高效存储，充分满足区域错峰用能需求，提升整体能源供应抗风险水平及灵活调配能力。</w:t>
      </w:r>
    </w:p>
    <w:p>
      <w:pPr>
        <w:pStyle w:val="44"/>
        <w:ind w:firstLine="643"/>
        <w:rPr>
          <w:rFonts w:ascii="Times New Roman" w:eastAsia="方正仿宋_GBK"/>
        </w:rPr>
      </w:pPr>
      <w:r>
        <w:rPr>
          <w:rFonts w:hint="eastAsia" w:ascii="Times New Roman" w:eastAsia="方正仿宋_GBK"/>
          <w:b/>
          <w:bCs/>
        </w:rPr>
        <w:t>5.</w:t>
      </w:r>
      <w:r>
        <w:rPr>
          <w:rFonts w:ascii="Times New Roman" w:eastAsia="方正仿宋_GBK"/>
          <w:b/>
          <w:bCs/>
        </w:rPr>
        <w:t xml:space="preserve"> </w:t>
      </w:r>
      <w:r>
        <w:rPr>
          <w:rFonts w:hint="eastAsia" w:ascii="Times New Roman" w:eastAsia="方正仿宋_GBK"/>
          <w:b/>
          <w:bCs/>
        </w:rPr>
        <w:t>积极探索</w:t>
      </w:r>
      <w:r>
        <w:rPr>
          <w:rFonts w:hint="eastAsia" w:ascii="Times New Roman" w:eastAsia="方正仿宋_GBK"/>
          <w:b/>
          <w:bCs/>
          <w:lang w:val="en-US" w:eastAsia="zh-CN"/>
        </w:rPr>
        <w:t>布局</w:t>
      </w:r>
      <w:r>
        <w:rPr>
          <w:rFonts w:hint="eastAsia" w:ascii="Times New Roman" w:eastAsia="方正仿宋_GBK"/>
          <w:b/>
          <w:bCs/>
        </w:rPr>
        <w:t>氢能发展。</w:t>
      </w:r>
      <w:r>
        <w:rPr>
          <w:rFonts w:hint="eastAsia" w:ascii="Times New Roman" w:eastAsia="方正仿宋_GBK"/>
        </w:rPr>
        <w:t>充分借鉴广东省、佛山市南海区等地发展氢能源经验，探索利用惠阳区的光伏发电协同谷电制氢，鼓励传统的工业企业布局高附加值绿色环保的氢能产业。引导各方主体全面参与，拓展氢能应用场景，探索氢燃料电池在交通领域（如客车、物流车、工程车、专用车、重型卡车）和氢能储能的示范应用。</w:t>
      </w:r>
    </w:p>
    <w:p>
      <w:pPr>
        <w:pStyle w:val="44"/>
        <w:ind w:firstLine="643"/>
        <w:rPr>
          <w:rFonts w:ascii="Times New Roman" w:eastAsia="方正仿宋_GBK"/>
        </w:rPr>
      </w:pPr>
      <w:bookmarkStart w:id="23" w:name="_Toc3035"/>
      <w:r>
        <w:rPr>
          <w:rFonts w:hint="eastAsia" w:ascii="Times New Roman" w:eastAsia="方正仿宋_GBK"/>
          <w:b/>
          <w:bCs/>
          <w:lang w:val="en-US" w:eastAsia="zh-CN"/>
        </w:rPr>
        <w:t>6</w:t>
      </w:r>
      <w:r>
        <w:rPr>
          <w:rFonts w:hint="eastAsia" w:ascii="Times New Roman" w:eastAsia="方正仿宋_GBK"/>
          <w:b/>
          <w:bCs/>
        </w:rPr>
        <w:t>. 打造清洁能源智慧园区</w:t>
      </w:r>
      <w:bookmarkEnd w:id="23"/>
      <w:r>
        <w:rPr>
          <w:rFonts w:hint="eastAsia" w:ascii="Times New Roman" w:eastAsia="方正仿宋_GBK"/>
          <w:b/>
          <w:bCs/>
        </w:rPr>
        <w:t>。</w:t>
      </w:r>
      <w:r>
        <w:rPr>
          <w:rFonts w:hint="eastAsia" w:ascii="Times New Roman" w:eastAsia="方正仿宋_GBK"/>
        </w:rPr>
        <w:t>加快发展清洁能源。依托新圩镇科技产业创新合作发展示范区及三和产业园科技产业园，在惠阳（新圩）智能制造产业园、惠阳（象岭）智慧科技产业园建设大型建筑光伏试点项目，打造规模化分布式光伏发电示范区；开展天然气分布式能源项目试点工程，优先在</w:t>
      </w:r>
      <w:r>
        <w:rPr>
          <w:rFonts w:hint="eastAsia" w:ascii="Times New Roman" w:eastAsia="方正仿宋_GBK"/>
          <w:lang w:eastAsia="zh-CN"/>
        </w:rPr>
        <w:t>惠阳区新材料产业园</w:t>
      </w:r>
      <w:r>
        <w:rPr>
          <w:rFonts w:hint="eastAsia" w:ascii="Times New Roman" w:eastAsia="方正仿宋_GBK"/>
        </w:rPr>
        <w:t>、广东（仲恺）人工智能产业园镇隆协同发展区布点若干天然气分布式能源项目，形成清洁能源应用推广示范带动效应。</w:t>
      </w:r>
    </w:p>
    <w:p>
      <w:pPr>
        <w:pStyle w:val="44"/>
        <w:ind w:firstLine="640"/>
        <w:rPr>
          <w:rFonts w:ascii="Times New Roman" w:eastAsia="方正仿宋_GBK"/>
        </w:rPr>
      </w:pPr>
    </w:p>
    <w:p>
      <w:pPr>
        <w:pStyle w:val="3"/>
        <w:spacing w:line="580" w:lineRule="exact"/>
        <w:ind w:firstLine="0" w:firstLineChars="0"/>
        <w:jc w:val="center"/>
        <w:rPr>
          <w:rFonts w:eastAsia="楷体" w:cs="方正黑体_GBK"/>
        </w:rPr>
      </w:pPr>
      <w:bookmarkStart w:id="24" w:name="_Toc32675"/>
      <w:bookmarkStart w:id="25" w:name="_Toc3336"/>
      <w:r>
        <w:rPr>
          <w:rFonts w:hint="eastAsia" w:eastAsia="楷体" w:cs="方正黑体_GBK"/>
        </w:rPr>
        <w:t xml:space="preserve">第三节 </w:t>
      </w:r>
      <w:bookmarkEnd w:id="24"/>
      <w:r>
        <w:rPr>
          <w:rFonts w:hint="eastAsia" w:eastAsia="楷体" w:cs="方正黑体_GBK"/>
        </w:rPr>
        <w:t>加强能源领域创新，加快能源科技高效应用</w:t>
      </w:r>
      <w:bookmarkEnd w:id="25"/>
    </w:p>
    <w:p/>
    <w:p>
      <w:pPr>
        <w:pStyle w:val="44"/>
        <w:ind w:firstLine="640"/>
        <w:rPr>
          <w:rFonts w:ascii="Times New Roman" w:eastAsia="方正仿宋_GBK"/>
        </w:rPr>
      </w:pPr>
      <w:r>
        <w:rPr>
          <w:rFonts w:hint="eastAsia" w:ascii="Times New Roman" w:eastAsia="方正仿宋_GBK"/>
        </w:rPr>
        <w:t>坚持创新在能源发展中的核心地位，深入实施创新发展战略，建设区域科技创新平台，加快先进高效节能技术应用，在智慧能源和人才引进方面走在全市前列。</w:t>
      </w:r>
    </w:p>
    <w:p>
      <w:pPr>
        <w:pStyle w:val="44"/>
        <w:ind w:firstLine="643"/>
        <w:rPr>
          <w:rFonts w:ascii="Times New Roman" w:eastAsia="方正仿宋_GBK"/>
        </w:rPr>
      </w:pPr>
      <w:r>
        <w:rPr>
          <w:rFonts w:hint="eastAsia" w:ascii="Times New Roman" w:eastAsia="方正仿宋_GBK"/>
          <w:b/>
          <w:bCs/>
        </w:rPr>
        <w:t>1.</w:t>
      </w:r>
      <w:r>
        <w:rPr>
          <w:rFonts w:ascii="Times New Roman" w:eastAsia="方正仿宋_GBK"/>
          <w:b/>
          <w:bCs/>
        </w:rPr>
        <w:t xml:space="preserve"> </w:t>
      </w:r>
      <w:r>
        <w:rPr>
          <w:rFonts w:hint="eastAsia" w:ascii="Times New Roman" w:eastAsia="方正仿宋_GBK"/>
          <w:b/>
          <w:bCs/>
        </w:rPr>
        <w:t>推进科技创新平台建设。</w:t>
      </w:r>
      <w:r>
        <w:rPr>
          <w:rFonts w:hint="eastAsia" w:ascii="Times New Roman" w:eastAsia="方正仿宋_GBK"/>
        </w:rPr>
        <w:t>推进科技创新孵化基地建设，加快淡水维白科创园开发建设，加快与粤港澳大湾区科创资源对接。加快科技创新成果转化，持续深入实施“三部两院一省”产学研合作，搭建高校科研创新成果与企业技术需求、市场需求无缝对接的桥梁，加快引进一批产业关键核心技术，促成高校最新科技成果与企业合作对接。</w:t>
      </w:r>
    </w:p>
    <w:p>
      <w:pPr>
        <w:pStyle w:val="44"/>
        <w:ind w:firstLine="643"/>
        <w:rPr>
          <w:rFonts w:ascii="Times New Roman" w:eastAsia="方正仿宋_GBK"/>
        </w:rPr>
      </w:pPr>
      <w:r>
        <w:rPr>
          <w:rFonts w:hint="eastAsia" w:ascii="Times New Roman" w:eastAsia="方正仿宋_GBK"/>
          <w:b/>
          <w:bCs/>
        </w:rPr>
        <w:t>2.</w:t>
      </w:r>
      <w:r>
        <w:rPr>
          <w:rFonts w:ascii="Times New Roman" w:eastAsia="方正仿宋_GBK"/>
          <w:b/>
          <w:bCs/>
        </w:rPr>
        <w:t xml:space="preserve"> </w:t>
      </w:r>
      <w:r>
        <w:rPr>
          <w:rFonts w:hint="eastAsia" w:ascii="Times New Roman" w:eastAsia="方正仿宋_GBK"/>
          <w:b/>
          <w:bCs/>
        </w:rPr>
        <w:t>加快高效节能技术应用。</w:t>
      </w:r>
      <w:r>
        <w:rPr>
          <w:rFonts w:hint="eastAsia" w:ascii="Times New Roman" w:eastAsia="方正仿宋_GBK"/>
        </w:rPr>
        <w:t>以系统节能为基础，以高效用能为方向，将高效节能技术广泛应用于工业、建筑、交通等各领域。重点发展工业高效用能技术，加强生产工艺和机械设备节能技术研发，推动工业锅（窑）炉、电机系统、变压器等通用设备节能技术研发应用；深入推进工业系统节能改造，完善和推广工业循环利用、系统利用和梯级利用技术；鼓励应用原料优化、工业余热、余压、余气回收利用以及烟气余热回收利用技术。</w:t>
      </w:r>
    </w:p>
    <w:p>
      <w:pPr>
        <w:pStyle w:val="44"/>
        <w:ind w:firstLine="643"/>
        <w:rPr>
          <w:rFonts w:ascii="Times New Roman" w:eastAsia="方正仿宋_GBK"/>
        </w:rPr>
      </w:pPr>
      <w:r>
        <w:rPr>
          <w:rFonts w:hint="eastAsia" w:ascii="Times New Roman" w:eastAsia="方正仿宋_GBK"/>
          <w:b/>
          <w:bCs/>
        </w:rPr>
        <w:t>3.</w:t>
      </w:r>
      <w:r>
        <w:rPr>
          <w:rFonts w:ascii="Times New Roman" w:eastAsia="方正仿宋_GBK"/>
          <w:b/>
          <w:bCs/>
        </w:rPr>
        <w:t xml:space="preserve"> </w:t>
      </w:r>
      <w:r>
        <w:rPr>
          <w:rFonts w:hint="eastAsia" w:ascii="Times New Roman" w:eastAsia="方正仿宋_GBK"/>
          <w:b/>
          <w:bCs/>
        </w:rPr>
        <w:t>加快智慧能源发展应用。</w:t>
      </w:r>
      <w:r>
        <w:rPr>
          <w:rFonts w:hint="eastAsia" w:ascii="Times New Roman" w:eastAsia="方正仿宋_GBK"/>
        </w:rPr>
        <w:t>加快推进创新能源发展模式，推进智慧能源建设，发展分布式能源网络，实现多种能源的协调与互补。探索能源智慧化管理模式运营，以园区为单位重点打造先进的能源互联网、大数据、云服务平台等信息化技术平台，实现区域能源供需的智慧化管理。</w:t>
      </w:r>
    </w:p>
    <w:p>
      <w:pPr>
        <w:pStyle w:val="44"/>
        <w:ind w:firstLine="643"/>
        <w:rPr>
          <w:rFonts w:ascii="Times New Roman" w:eastAsia="方正仿宋_GBK"/>
        </w:rPr>
      </w:pPr>
      <w:r>
        <w:rPr>
          <w:rFonts w:hint="eastAsia" w:ascii="Times New Roman" w:eastAsia="方正仿宋_GBK"/>
          <w:b/>
          <w:bCs/>
        </w:rPr>
        <w:t>4.</w:t>
      </w:r>
      <w:r>
        <w:rPr>
          <w:rFonts w:ascii="Times New Roman" w:eastAsia="方正仿宋_GBK"/>
          <w:b/>
          <w:bCs/>
        </w:rPr>
        <w:t xml:space="preserve"> </w:t>
      </w:r>
      <w:r>
        <w:rPr>
          <w:rFonts w:hint="eastAsia" w:ascii="Times New Roman" w:eastAsia="方正仿宋_GBK"/>
          <w:b/>
          <w:bCs/>
        </w:rPr>
        <w:t>加强</w:t>
      </w:r>
      <w:r>
        <w:rPr>
          <w:rFonts w:hint="eastAsia" w:ascii="Times New Roman" w:eastAsia="方正仿宋_GBK"/>
          <w:b/>
          <w:bCs/>
          <w:lang w:val="en-US" w:eastAsia="zh-CN"/>
        </w:rPr>
        <w:t>能源领导</w:t>
      </w:r>
      <w:r>
        <w:rPr>
          <w:rFonts w:hint="eastAsia" w:ascii="Times New Roman" w:eastAsia="方正仿宋_GBK"/>
          <w:b/>
          <w:bCs/>
        </w:rPr>
        <w:t>人才培育。</w:t>
      </w:r>
      <w:r>
        <w:rPr>
          <w:rFonts w:hint="eastAsia" w:ascii="Times New Roman" w:eastAsia="方正仿宋_GBK"/>
        </w:rPr>
        <w:t>实施人才优先发展战略，依托高新科技企业研究实力，重点提高能源环境、能源动力、材料科学等基础科学领域的研究能力和水平；开展前沿性创新研究，依托辖区内高新技术企业加大推动石墨烯、超导材料等先进材料研发，助力新能源新材料产业发展。</w:t>
      </w:r>
    </w:p>
    <w:p>
      <w:pPr>
        <w:pStyle w:val="3"/>
        <w:spacing w:line="580" w:lineRule="exact"/>
        <w:ind w:firstLine="0" w:firstLineChars="0"/>
        <w:jc w:val="center"/>
        <w:rPr>
          <w:rFonts w:eastAsia="楷体" w:cs="方正黑体_GBK"/>
        </w:rPr>
      </w:pPr>
      <w:bookmarkStart w:id="26" w:name="_Toc5953"/>
      <w:bookmarkStart w:id="27" w:name="_Toc9673"/>
      <w:r>
        <w:rPr>
          <w:rFonts w:hint="eastAsia" w:eastAsia="楷体" w:cs="方正黑体_GBK"/>
        </w:rPr>
        <w:t>第四节 积极转变用能方式，促进能源节约高效利用</w:t>
      </w:r>
      <w:bookmarkEnd w:id="26"/>
      <w:bookmarkEnd w:id="27"/>
    </w:p>
    <w:p/>
    <w:p>
      <w:pPr>
        <w:pStyle w:val="44"/>
        <w:ind w:firstLine="643"/>
        <w:rPr>
          <w:rFonts w:ascii="Times New Roman" w:eastAsia="方正仿宋_GBK"/>
        </w:rPr>
      </w:pPr>
      <w:r>
        <w:rPr>
          <w:rFonts w:hint="eastAsia" w:ascii="Times New Roman" w:eastAsia="方正仿宋_GBK"/>
          <w:b/>
          <w:bCs/>
        </w:rPr>
        <w:t>1.</w:t>
      </w:r>
      <w:r>
        <w:rPr>
          <w:rFonts w:hint="eastAsia" w:ascii="Times New Roman" w:eastAsia="方正仿宋_GBK"/>
          <w:b/>
          <w:bCs/>
          <w:lang w:val="en-US" w:eastAsia="zh-CN"/>
        </w:rPr>
        <w:t>不断</w:t>
      </w:r>
      <w:r>
        <w:rPr>
          <w:rFonts w:hint="eastAsia" w:ascii="Times New Roman" w:eastAsia="方正仿宋_GBK"/>
          <w:b/>
          <w:bCs/>
        </w:rPr>
        <w:t>优化产业</w:t>
      </w:r>
      <w:r>
        <w:rPr>
          <w:rFonts w:hint="eastAsia" w:ascii="Times New Roman" w:eastAsia="方正仿宋_GBK"/>
          <w:b/>
          <w:bCs/>
          <w:lang w:val="en-US" w:eastAsia="zh-CN"/>
        </w:rPr>
        <w:t>结构，转变能源消费模式</w:t>
      </w:r>
      <w:r>
        <w:rPr>
          <w:rFonts w:hint="eastAsia" w:ascii="Times New Roman" w:eastAsia="方正仿宋_GBK"/>
          <w:b/>
          <w:bCs/>
        </w:rPr>
        <w:t>。</w:t>
      </w:r>
      <w:r>
        <w:rPr>
          <w:rFonts w:hint="eastAsia" w:ascii="Times New Roman" w:eastAsia="方正仿宋_GBK"/>
        </w:rPr>
        <w:t>以碳达峰碳中和倒逼产业结构调整，集中力量推进惠阳（象岭）智慧科技产业园、新圩梅龙湖产业园等千亿级产业园区建设，重点引进低能耗高产出的工业项目，如5G通信终端设备制造、计算机、人工智能等能耗低、污染少的先进制造业和战略性新兴产业；赋能文化经济，在绿色转型中形成新的经济增长点，充分利用惠阳中心城区千年古邑、叶挺故里，客家、商埠、红色文化等多元文化汇聚的独特属性，盘活旅游产业，打造“湾东客邑”，积极培育特色产业，包装文化旅游产品，促进文、农、林、旅多业态融合，加快本地区乡村振兴发展。</w:t>
      </w:r>
    </w:p>
    <w:p>
      <w:pPr>
        <w:adjustRightInd w:val="0"/>
        <w:snapToGrid w:val="0"/>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2.</w:t>
      </w:r>
      <w:r>
        <w:rPr>
          <w:rFonts w:ascii="Times New Roman" w:hAnsi="Times New Roman" w:eastAsia="方正仿宋_GBK" w:cs="Times New Roman"/>
          <w:b/>
          <w:bCs/>
          <w:sz w:val="32"/>
          <w:szCs w:val="32"/>
        </w:rPr>
        <w:t xml:space="preserve"> </w:t>
      </w:r>
      <w:r>
        <w:rPr>
          <w:rFonts w:hint="eastAsia" w:ascii="Times New Roman" w:hAnsi="Times New Roman" w:eastAsia="方正仿宋_GBK" w:cs="Times New Roman"/>
          <w:b/>
          <w:bCs/>
          <w:sz w:val="32"/>
          <w:szCs w:val="32"/>
        </w:rPr>
        <w:t>遏制</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两高</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rPr>
        <w:t>项目</w:t>
      </w:r>
      <w:r>
        <w:rPr>
          <w:rFonts w:hint="eastAsia" w:ascii="Times New Roman" w:hAnsi="Times New Roman" w:eastAsia="方正仿宋_GBK" w:cs="Times New Roman"/>
          <w:b/>
          <w:bCs/>
          <w:sz w:val="32"/>
          <w:szCs w:val="32"/>
          <w:lang w:val="en-US" w:eastAsia="zh-CN"/>
        </w:rPr>
        <w:t>发展，促进能源优化利用。</w:t>
      </w:r>
      <w:r>
        <w:rPr>
          <w:rFonts w:hint="eastAsia" w:ascii="Times New Roman" w:hAnsi="Times New Roman" w:eastAsia="方正仿宋_GBK" w:cs="Times New Roman"/>
          <w:sz w:val="32"/>
          <w:szCs w:val="32"/>
        </w:rPr>
        <w:t>对“两高”项目实行清单管理，对照国家产业规划、产业政策、节能审查、环评审批等政策规定开展评估检查，依法依规分类处置，强化事中事后监管实施动态监控，不符合要求的“两高”项目要坚决整改；严把“两高”项目环境准入关，严格贯彻落实国家和省级产业规划和产业政策，新建（含新增产能的改建、扩建）钢铁、水泥熟料、平板玻璃项目原则上实行省内产能置换，产能已饱和的行业严格落实产能减量置换政策；全面排查在建“两高”项目能效水平，对标国内乃至国际先进，推动在建项目能效水平应提尽提；对能效水平低于本行业能耗限额准入值的，按有关规定进行整改。深入挖掘存量“两高”项目节能减排潜力，推进节能减排改造升级，加快淘汰“两高”项目落后产能。</w:t>
      </w:r>
    </w:p>
    <w:p>
      <w:pPr>
        <w:pStyle w:val="44"/>
        <w:ind w:firstLine="643"/>
        <w:rPr>
          <w:rFonts w:ascii="Times New Roman" w:eastAsia="方正仿宋_GBK"/>
        </w:rPr>
      </w:pPr>
      <w:r>
        <w:rPr>
          <w:rFonts w:hint="eastAsia" w:ascii="Times New Roman" w:eastAsia="方正仿宋_GBK"/>
          <w:b/>
          <w:bCs/>
        </w:rPr>
        <w:t>3.</w:t>
      </w:r>
      <w:r>
        <w:rPr>
          <w:rFonts w:ascii="Times New Roman" w:eastAsia="方正仿宋_GBK"/>
          <w:b/>
          <w:bCs/>
        </w:rPr>
        <w:t xml:space="preserve"> </w:t>
      </w:r>
      <w:r>
        <w:rPr>
          <w:rFonts w:hint="eastAsia" w:ascii="Times New Roman" w:eastAsia="方正仿宋_GBK"/>
          <w:b/>
          <w:bCs/>
        </w:rPr>
        <w:t>加强节能</w:t>
      </w:r>
      <w:r>
        <w:rPr>
          <w:rFonts w:hint="eastAsia" w:ascii="Times New Roman" w:eastAsia="方正仿宋_GBK"/>
          <w:b/>
          <w:bCs/>
          <w:lang w:val="en-US" w:eastAsia="zh-CN"/>
        </w:rPr>
        <w:t>审查</w:t>
      </w:r>
      <w:r>
        <w:rPr>
          <w:rFonts w:hint="eastAsia" w:ascii="Times New Roman" w:eastAsia="方正仿宋_GBK"/>
          <w:b/>
          <w:bCs/>
        </w:rPr>
        <w:t>监管</w:t>
      </w:r>
      <w:r>
        <w:rPr>
          <w:rFonts w:hint="eastAsia" w:ascii="Times New Roman" w:eastAsia="方正仿宋_GBK"/>
          <w:b/>
          <w:bCs/>
          <w:lang w:eastAsia="zh-CN"/>
        </w:rPr>
        <w:t>，</w:t>
      </w:r>
      <w:r>
        <w:rPr>
          <w:rFonts w:hint="eastAsia" w:ascii="Times New Roman" w:eastAsia="方正仿宋_GBK"/>
          <w:b/>
          <w:bCs/>
          <w:lang w:val="en-US" w:eastAsia="zh-CN"/>
        </w:rPr>
        <w:t>促进</w:t>
      </w:r>
      <w:r>
        <w:rPr>
          <w:rFonts w:hint="eastAsia" w:ascii="Times New Roman" w:eastAsia="方正仿宋_GBK"/>
          <w:b/>
          <w:bCs/>
        </w:rPr>
        <w:t>能耗</w:t>
      </w:r>
      <w:r>
        <w:rPr>
          <w:rFonts w:hint="eastAsia" w:ascii="Times New Roman" w:eastAsia="方正仿宋_GBK"/>
          <w:b/>
          <w:bCs/>
          <w:lang w:val="en-US" w:eastAsia="zh-CN"/>
        </w:rPr>
        <w:t>水平下降</w:t>
      </w:r>
      <w:r>
        <w:rPr>
          <w:rFonts w:hint="eastAsia" w:ascii="Times New Roman" w:eastAsia="方正仿宋_GBK"/>
          <w:b/>
          <w:bCs/>
        </w:rPr>
        <w:t>。</w:t>
      </w:r>
      <w:r>
        <w:rPr>
          <w:rFonts w:hint="eastAsia" w:ascii="Times New Roman" w:eastAsia="方正仿宋_GBK" w:cs="Times New Roman"/>
        </w:rPr>
        <w:t>强化能耗双控管理</w:t>
      </w:r>
      <w:r>
        <w:rPr>
          <w:rFonts w:hint="eastAsia" w:ascii="Times New Roman" w:eastAsia="方正仿宋_GBK"/>
        </w:rPr>
        <w:t>，</w:t>
      </w:r>
      <w:r>
        <w:rPr>
          <w:rFonts w:hint="eastAsia" w:ascii="Times New Roman" w:eastAsia="方正仿宋_GBK" w:cs="Times New Roman"/>
        </w:rPr>
        <w:t>加强用能预算管理与目标差别化分解，严格落实能耗强度约束性指标考核，明确相关主体工作责任，共同推进落实规划目标和任务</w:t>
      </w:r>
      <w:r>
        <w:rPr>
          <w:rFonts w:hint="eastAsia" w:ascii="Times New Roman" w:eastAsia="方正仿宋_GBK"/>
        </w:rPr>
        <w:t>；强化固定资产投资项目节能审查监管，</w:t>
      </w:r>
      <w:r>
        <w:rPr>
          <w:rFonts w:hint="eastAsia" w:ascii="Times New Roman" w:eastAsia="方正仿宋_GBK" w:cs="Times New Roman"/>
        </w:rPr>
        <w:t>切实发挥节能审查制度的源头把控作用，强化新建项目对能耗双控影响评估和用能指标来源审查，推动实施新建项目能耗指标“核算</w:t>
      </w:r>
      <w:r>
        <w:rPr>
          <w:rFonts w:ascii="Times New Roman" w:eastAsia="方正仿宋_GBK" w:cs="Times New Roman"/>
        </w:rPr>
        <w:t>-审查-生产”的全过程节能管理</w:t>
      </w:r>
      <w:r>
        <w:rPr>
          <w:rFonts w:hint="eastAsia" w:ascii="Times New Roman" w:eastAsia="方正仿宋_GBK" w:cs="Times New Roman"/>
        </w:rPr>
        <w:t>，结合事中事后监管</w:t>
      </w:r>
      <w:r>
        <w:rPr>
          <w:rFonts w:ascii="Times New Roman" w:eastAsia="方正仿宋_GBK" w:cs="Times New Roman"/>
        </w:rPr>
        <w:t>严肃查处违法违规用能行为</w:t>
      </w:r>
      <w:r>
        <w:rPr>
          <w:rFonts w:hint="eastAsia" w:ascii="Times New Roman" w:eastAsia="方正仿宋_GBK"/>
        </w:rPr>
        <w:t>；强化重点用能单位节能管理，加大对全区年用能量1000tce以上重点用能企业的监管力度，强化企业节能主体责任，落实能源审计、“十四五”节能规划等工作；做好重点用能单位能源消费动态分析，加强节能监察和监测力度。</w:t>
      </w:r>
    </w:p>
    <w:p>
      <w:pPr>
        <w:pStyle w:val="44"/>
        <w:ind w:firstLine="643"/>
        <w:rPr>
          <w:rFonts w:ascii="Times New Roman" w:eastAsia="方正仿宋_GBK"/>
        </w:rPr>
      </w:pPr>
      <w:r>
        <w:rPr>
          <w:rFonts w:hint="eastAsia" w:ascii="Times New Roman" w:eastAsia="方正仿宋_GBK"/>
          <w:b/>
          <w:bCs/>
        </w:rPr>
        <w:t>4.</w:t>
      </w:r>
      <w:r>
        <w:rPr>
          <w:rFonts w:ascii="Times New Roman" w:eastAsia="方正仿宋_GBK"/>
          <w:b/>
          <w:bCs/>
        </w:rPr>
        <w:t xml:space="preserve"> </w:t>
      </w:r>
      <w:r>
        <w:rPr>
          <w:rFonts w:hint="eastAsia" w:ascii="Times New Roman" w:eastAsia="方正仿宋_GBK"/>
          <w:b/>
          <w:bCs/>
          <w:lang w:val="en-US" w:eastAsia="zh-CN"/>
        </w:rPr>
        <w:t>强化</w:t>
      </w:r>
      <w:r>
        <w:rPr>
          <w:rFonts w:hint="eastAsia" w:ascii="Times New Roman" w:eastAsia="方正仿宋_GBK" w:cs="Times New Roman"/>
          <w:b/>
          <w:bCs/>
        </w:rPr>
        <w:t>重点领域节能</w:t>
      </w:r>
      <w:r>
        <w:rPr>
          <w:rFonts w:hint="eastAsia" w:ascii="Times New Roman" w:eastAsia="方正仿宋_GBK" w:cs="Times New Roman"/>
          <w:b/>
          <w:bCs/>
          <w:lang w:eastAsia="zh-CN"/>
        </w:rPr>
        <w:t>，</w:t>
      </w:r>
      <w:r>
        <w:rPr>
          <w:rFonts w:hint="eastAsia" w:ascii="Times New Roman" w:hAnsi="Times New Roman" w:eastAsia="方正仿宋_GBK" w:cs="Times New Roman"/>
          <w:b/>
          <w:bCs/>
          <w:sz w:val="32"/>
          <w:szCs w:val="32"/>
          <w:lang w:val="en-US" w:eastAsia="zh-CN"/>
        </w:rPr>
        <w:t>促进能源</w:t>
      </w:r>
      <w:r>
        <w:rPr>
          <w:rFonts w:hint="eastAsia" w:ascii="Times New Roman" w:eastAsia="方正仿宋_GBK" w:cs="Times New Roman"/>
          <w:b/>
          <w:bCs/>
          <w:sz w:val="32"/>
          <w:szCs w:val="32"/>
          <w:lang w:val="en-US" w:eastAsia="zh-CN"/>
        </w:rPr>
        <w:t>高效</w:t>
      </w:r>
      <w:r>
        <w:rPr>
          <w:rFonts w:hint="eastAsia" w:ascii="Times New Roman" w:hAnsi="Times New Roman" w:eastAsia="方正仿宋_GBK" w:cs="Times New Roman"/>
          <w:b/>
          <w:bCs/>
          <w:sz w:val="32"/>
          <w:szCs w:val="32"/>
          <w:lang w:val="en-US" w:eastAsia="zh-CN"/>
        </w:rPr>
        <w:t>利用</w:t>
      </w:r>
      <w:r>
        <w:rPr>
          <w:rFonts w:hint="eastAsia" w:ascii="Times New Roman" w:eastAsia="方正仿宋_GBK"/>
          <w:b/>
          <w:bCs/>
        </w:rPr>
        <w:t>。</w:t>
      </w:r>
      <w:r>
        <w:rPr>
          <w:rFonts w:hint="eastAsia" w:ascii="Times New Roman" w:eastAsia="方正仿宋_GBK"/>
        </w:rPr>
        <w:t>深化工业节能诊断服务，开展重点行业及领域的能效对标、节能诊断工作，深挖节能潜力，形成“一企一策”能效提升方案指导企业节能降碳；重点构建新基建能源物联网数据平台，完善5G基站及其配套设施建设，推动“一杆多用”智慧杆的建设应用，推动5G节能智能化。实施绿色建筑量质齐升行动，建设惠阳绿色建筑发展区；有序推动建筑竖向承重构件在装配式建筑中的应用，推进可再生能源建筑建设。严格执行公共机构节约能源资源工作计划，进一步加大公共机构建筑节能改造力度，积极开展节约型机关创建。</w:t>
      </w:r>
    </w:p>
    <w:p>
      <w:pPr>
        <w:pStyle w:val="44"/>
        <w:ind w:firstLine="643"/>
        <w:rPr>
          <w:rFonts w:ascii="Times New Roman" w:eastAsia="方正仿宋_GBK"/>
        </w:rPr>
      </w:pPr>
      <w:r>
        <w:rPr>
          <w:rFonts w:hint="eastAsia" w:ascii="Times New Roman" w:eastAsia="方正仿宋_GBK"/>
          <w:b/>
          <w:bCs/>
        </w:rPr>
        <w:t>5.</w:t>
      </w:r>
      <w:r>
        <w:rPr>
          <w:rFonts w:ascii="Times New Roman" w:eastAsia="方正仿宋_GBK"/>
          <w:b/>
          <w:bCs/>
        </w:rPr>
        <w:t xml:space="preserve"> </w:t>
      </w:r>
      <w:r>
        <w:rPr>
          <w:rFonts w:hint="eastAsia" w:ascii="Times New Roman" w:eastAsia="方正仿宋_GBK"/>
          <w:b/>
          <w:bCs/>
          <w:lang w:val="en-US" w:eastAsia="zh-CN"/>
        </w:rPr>
        <w:t>优化用电需求管理，强化</w:t>
      </w:r>
      <w:r>
        <w:rPr>
          <w:rFonts w:hint="eastAsia" w:ascii="Times New Roman" w:eastAsia="方正仿宋_GBK"/>
          <w:b/>
          <w:bCs/>
        </w:rPr>
        <w:t>能源需求侧</w:t>
      </w:r>
      <w:r>
        <w:rPr>
          <w:rFonts w:hint="eastAsia" w:ascii="Times New Roman" w:eastAsia="方正仿宋_GBK"/>
          <w:b/>
          <w:bCs/>
          <w:lang w:val="en-US" w:eastAsia="zh-CN"/>
        </w:rPr>
        <w:t>作用</w:t>
      </w:r>
      <w:r>
        <w:rPr>
          <w:rFonts w:hint="eastAsia" w:ascii="Times New Roman" w:eastAsia="方正仿宋_GBK"/>
          <w:b/>
          <w:bCs/>
        </w:rPr>
        <w:t>。</w:t>
      </w:r>
      <w:r>
        <w:rPr>
          <w:rFonts w:hint="eastAsia" w:ascii="Times New Roman" w:eastAsia="方正仿宋_GBK"/>
        </w:rPr>
        <w:t>主动落实需求侧电价管理机制，充分利用峰谷电价、阶梯电价等差别化电价机制，引导市场化削峰填谷；加大先进节电、调荷产品和设备新技术的应用，要求用能单位作好终端节电管理；推动大型企业采用能源管理系统对企业内部各用电点负荷状况实现实时监测，保障企业内部能源管理质量和效率；有序推动电力市场化，引导工业园区等大电力用户直接参与电力市场交易，扩大市场规模；有效引导天然气需求侧管理，加快储气设施建设和完善储气调峰辅助服务市场机制，利用价格杠杆调节天然气需求。</w:t>
      </w:r>
    </w:p>
    <w:p>
      <w:pPr>
        <w:pStyle w:val="44"/>
        <w:ind w:left="0" w:leftChars="0" w:firstLine="0" w:firstLineChars="0"/>
        <w:rPr>
          <w:rFonts w:ascii="Times New Roman"/>
        </w:rPr>
      </w:pPr>
    </w:p>
    <w:p>
      <w:pPr>
        <w:pStyle w:val="2"/>
        <w:spacing w:line="580" w:lineRule="exact"/>
        <w:ind w:firstLine="0" w:firstLineChars="0"/>
        <w:jc w:val="center"/>
        <w:rPr>
          <w:rFonts w:ascii="方正黑体_GBK" w:hAnsi="方正黑体_GBK" w:eastAsia="方正黑体_GBK" w:cs="方正黑体_GBK"/>
          <w:sz w:val="36"/>
          <w:szCs w:val="48"/>
        </w:rPr>
      </w:pPr>
      <w:bookmarkStart w:id="28" w:name="_Toc6810"/>
      <w:bookmarkStart w:id="29" w:name="_Toc10074"/>
      <w:r>
        <w:rPr>
          <w:rFonts w:hint="eastAsia" w:ascii="方正黑体_GBK" w:hAnsi="方正黑体_GBK" w:eastAsia="方正黑体_GBK" w:cs="方正黑体_GBK"/>
          <w:sz w:val="36"/>
          <w:szCs w:val="48"/>
        </w:rPr>
        <w:t>第四章 环境影响分析</w:t>
      </w:r>
      <w:bookmarkEnd w:id="28"/>
      <w:bookmarkEnd w:id="29"/>
    </w:p>
    <w:p/>
    <w:p>
      <w:pPr>
        <w:pStyle w:val="3"/>
        <w:spacing w:line="580" w:lineRule="exact"/>
        <w:ind w:firstLine="0" w:firstLineChars="0"/>
        <w:jc w:val="center"/>
        <w:rPr>
          <w:rFonts w:eastAsia="楷体" w:cs="方正黑体_GBK"/>
        </w:rPr>
      </w:pPr>
      <w:bookmarkStart w:id="30" w:name="_Toc26648"/>
      <w:r>
        <w:rPr>
          <w:rFonts w:hint="eastAsia" w:eastAsia="楷体" w:cs="方正黑体_GBK"/>
        </w:rPr>
        <w:t>第一节 环境影响分析</w:t>
      </w:r>
      <w:bookmarkEnd w:id="30"/>
    </w:p>
    <w:p>
      <w:pPr>
        <w:pStyle w:val="44"/>
        <w:ind w:firstLine="640"/>
        <w:rPr>
          <w:rFonts w:ascii="Times New Roman" w:eastAsia="方正仿宋_GBK"/>
        </w:rPr>
      </w:pPr>
      <w:r>
        <w:rPr>
          <w:rFonts w:hint="eastAsia" w:ascii="Times New Roman" w:eastAsia="方正仿宋_GBK"/>
        </w:rPr>
        <w:t>本规划按照《能源生产和消费革命战略（2016-2030）》《粤港澳大湾区发展规划纲要》《“十四五”现代能源体系规划》《广东省能源发展“十四五”规划》以及《惠阳区国民经济和社会发展第十四个五年规划和2035 年远景目标纲要》总体要求，以构建安全高效、清洁低碳、智能创新的现代能源体系为目标，以提质、增效、减排为重点任务，统筹优化能源供给结构和产业布局，大力开发利用清洁能源，促进能源行业节能减排，推动能源清洁低碳转型，切实减少能源发展对生态环境的影响，全面助力社会经济绿色发展。</w:t>
      </w:r>
    </w:p>
    <w:p>
      <w:pPr>
        <w:pStyle w:val="44"/>
        <w:ind w:firstLine="640"/>
        <w:rPr>
          <w:rFonts w:ascii="Times New Roman" w:eastAsia="方正仿宋_GBK"/>
        </w:rPr>
      </w:pPr>
      <w:r>
        <w:rPr>
          <w:rFonts w:hint="eastAsia" w:ascii="Times New Roman" w:eastAsia="方正仿宋_GBK"/>
        </w:rPr>
        <w:t>在保障全区“十四五”经济社会持续健康发展的前提下，积极提升能源利用效率，推动能源需求增速放缓，持续优化能源供应结构和消费模式，使能源消费更加高效、清洁、低碳，环境效益进一步凸显。能源利用效率持续提高，加快能源集约、智能利用，促进能源科技创新，推动能源高效利用。能源结构持续向清洁、低碳方向优化，核电安全高效发展，可再生能源快速发展，天然气利用水平不断提升，能源消费结构得到进一步优化，清洁能源消费比重持续上升。</w:t>
      </w:r>
    </w:p>
    <w:p>
      <w:pPr>
        <w:pStyle w:val="44"/>
        <w:ind w:firstLine="640"/>
        <w:rPr>
          <w:rFonts w:ascii="Times New Roman" w:eastAsia="方正仿宋_GBK"/>
        </w:rPr>
      </w:pPr>
    </w:p>
    <w:p>
      <w:pPr>
        <w:pStyle w:val="3"/>
        <w:spacing w:line="580" w:lineRule="exact"/>
        <w:ind w:firstLine="0" w:firstLineChars="0"/>
        <w:jc w:val="center"/>
        <w:rPr>
          <w:rFonts w:eastAsia="楷体" w:cs="方正黑体_GBK"/>
        </w:rPr>
      </w:pPr>
      <w:bookmarkStart w:id="31" w:name="_Toc6848"/>
      <w:r>
        <w:rPr>
          <w:rFonts w:hint="eastAsia" w:eastAsia="楷体" w:cs="方正黑体_GBK"/>
        </w:rPr>
        <w:t>第二节 环境保护措施</w:t>
      </w:r>
      <w:bookmarkEnd w:id="31"/>
    </w:p>
    <w:p>
      <w:pPr>
        <w:pStyle w:val="44"/>
        <w:ind w:firstLine="640"/>
        <w:rPr>
          <w:rFonts w:ascii="Times New Roman" w:eastAsia="方正仿宋_GBK"/>
        </w:rPr>
      </w:pPr>
      <w:r>
        <w:rPr>
          <w:rFonts w:hint="eastAsia" w:ascii="Times New Roman" w:eastAsia="方正仿宋_GBK"/>
        </w:rPr>
        <w:t>“十四五”期间，充分发挥能源规划对能源发展的引导和约束作用，加强能源产供储销各环节的环境保护以及能源项目的环境监督管理，推动实现能源发展与生态保护的协调。</w:t>
      </w:r>
    </w:p>
    <w:p>
      <w:pPr>
        <w:pStyle w:val="44"/>
        <w:ind w:firstLine="643"/>
        <w:rPr>
          <w:rFonts w:ascii="Times New Roman" w:eastAsia="方正仿宋_GBK"/>
        </w:rPr>
      </w:pPr>
      <w:r>
        <w:rPr>
          <w:rFonts w:hint="eastAsia" w:ascii="Times New Roman" w:eastAsia="方正仿宋_GBK"/>
          <w:b/>
          <w:bCs/>
        </w:rPr>
        <w:t>1. 发挥能源规划引导作用。</w:t>
      </w:r>
      <w:r>
        <w:rPr>
          <w:rFonts w:hint="eastAsia" w:ascii="Times New Roman" w:eastAsia="方正仿宋_GBK"/>
        </w:rPr>
        <w:t>做好各能源品种之间的规划衔接，科学规划和合理开发能源资源，依据规划布局推进能源基础设施建设建设，优化项目实施方案，促进能源基础设施的互联互通和公平开放，不断提高资源综合利用水平和能源利用效率，降低对生态环境的影响。</w:t>
      </w:r>
    </w:p>
    <w:p>
      <w:pPr>
        <w:pStyle w:val="44"/>
        <w:ind w:firstLine="643"/>
        <w:rPr>
          <w:rFonts w:ascii="Times New Roman" w:eastAsia="方正仿宋_GBK"/>
        </w:rPr>
      </w:pPr>
      <w:r>
        <w:rPr>
          <w:rFonts w:hint="eastAsia" w:ascii="Times New Roman" w:eastAsia="方正仿宋_GBK"/>
          <w:b/>
          <w:bCs/>
        </w:rPr>
        <w:t>2. 加强能源减污降碳利用。</w:t>
      </w:r>
      <w:r>
        <w:rPr>
          <w:rFonts w:hint="eastAsia" w:ascii="Times New Roman" w:eastAsia="方正仿宋_GBK"/>
        </w:rPr>
        <w:t>强化源头控制，积极采用先进的清洁生产技术，减少能源生产过程中的污染物排放。推进油气管网互联互通建设，减少油气装卸、运输过程中的环境影响。在重点领域、重点行业、重点企业大力推进节能减排技术改造，淘汰落后产能，提升环保水平。倡导绿色低碳的生产生活方式，营造节约能源、保护环境的良好氛围。</w:t>
      </w:r>
    </w:p>
    <w:p>
      <w:pPr>
        <w:pStyle w:val="44"/>
        <w:ind w:firstLine="643"/>
        <w:rPr>
          <w:rFonts w:ascii="Times New Roman" w:eastAsia="方正仿宋_GBK"/>
        </w:rPr>
      </w:pPr>
      <w:r>
        <w:rPr>
          <w:rFonts w:hint="eastAsia" w:ascii="Times New Roman" w:eastAsia="方正仿宋_GBK"/>
          <w:b/>
          <w:bCs/>
        </w:rPr>
        <w:t>3. 强化能源项目环境监管。</w:t>
      </w:r>
      <w:r>
        <w:rPr>
          <w:rFonts w:hint="eastAsia" w:ascii="Times New Roman" w:eastAsia="方正仿宋_GBK"/>
        </w:rPr>
        <w:t>全面贯彻环境保护、节约能源资源相关法律法规，严格执行能源项目的环境影响评价制度和节能审查制度，切实落实建设项目环评、水保要求和“三同时”制度，重视项目建设过程中的水土保持和环境恢复，加强项目生产运行过程中的环境监测和事故防范。</w:t>
      </w:r>
    </w:p>
    <w:p>
      <w:pPr>
        <w:pStyle w:val="44"/>
        <w:ind w:firstLine="643"/>
        <w:rPr>
          <w:rFonts w:ascii="Times New Roman" w:eastAsia="方正仿宋_GBK"/>
        </w:rPr>
      </w:pPr>
      <w:r>
        <w:rPr>
          <w:rFonts w:hint="eastAsia" w:ascii="Times New Roman" w:eastAsia="方正仿宋_GBK"/>
          <w:b/>
          <w:bCs/>
        </w:rPr>
        <w:t>4. 促进能源环境协同发展。</w:t>
      </w:r>
      <w:r>
        <w:rPr>
          <w:rFonts w:hint="eastAsia" w:ascii="Times New Roman" w:eastAsia="方正仿宋_GBK"/>
        </w:rPr>
        <w:t>严格落实“三线一单”管理要求，提前协调能源建设项目与生态环境保护之间存在相互制约的空间功能区划，加强对生态敏感区能源建设项目的生态保护和环境监管。根据能源资源条件、环境承载能力合理确定能源项目建设规模，实现保障能源供应、促进经济发展与生态环境保护的有机统一。</w:t>
      </w:r>
    </w:p>
    <w:p>
      <w:pPr>
        <w:rPr>
          <w:rFonts w:ascii="Times New Roman" w:eastAsia="方正仿宋_GBK"/>
        </w:rPr>
      </w:pPr>
    </w:p>
    <w:p>
      <w:pPr>
        <w:pStyle w:val="2"/>
        <w:spacing w:line="580" w:lineRule="exact"/>
        <w:ind w:firstLine="0" w:firstLineChars="0"/>
        <w:jc w:val="center"/>
        <w:rPr>
          <w:rFonts w:ascii="方正黑体_GBK" w:hAnsi="方正黑体_GBK" w:eastAsia="方正黑体_GBK" w:cs="方正黑体_GBK"/>
          <w:sz w:val="36"/>
          <w:szCs w:val="48"/>
        </w:rPr>
      </w:pPr>
      <w:bookmarkStart w:id="32" w:name="_Toc953"/>
      <w:bookmarkStart w:id="33" w:name="_Toc5267"/>
      <w:r>
        <w:rPr>
          <w:rFonts w:hint="eastAsia" w:ascii="方正黑体_GBK" w:hAnsi="方正黑体_GBK" w:eastAsia="方正黑体_GBK" w:cs="方正黑体_GBK"/>
          <w:sz w:val="36"/>
          <w:szCs w:val="48"/>
        </w:rPr>
        <w:t>第五章 保障措施</w:t>
      </w:r>
      <w:bookmarkEnd w:id="32"/>
      <w:bookmarkEnd w:id="33"/>
    </w:p>
    <w:p/>
    <w:p>
      <w:pPr>
        <w:pStyle w:val="44"/>
        <w:ind w:firstLine="643"/>
        <w:rPr>
          <w:rFonts w:ascii="Times New Roman" w:eastAsia="方正仿宋_GBK"/>
        </w:rPr>
      </w:pPr>
      <w:r>
        <w:rPr>
          <w:rFonts w:hint="eastAsia" w:ascii="Times New Roman" w:eastAsia="方正仿宋_GBK"/>
          <w:b/>
          <w:bCs/>
        </w:rPr>
        <w:t>1.</w:t>
      </w:r>
      <w:r>
        <w:rPr>
          <w:rFonts w:ascii="Times New Roman" w:eastAsia="方正仿宋_GBK"/>
          <w:b/>
          <w:bCs/>
        </w:rPr>
        <w:t xml:space="preserve"> </w:t>
      </w:r>
      <w:r>
        <w:rPr>
          <w:rFonts w:hint="eastAsia" w:ascii="Times New Roman" w:eastAsia="方正仿宋_GBK"/>
          <w:b/>
          <w:bCs/>
        </w:rPr>
        <w:t>加强组织领导。</w:t>
      </w:r>
      <w:r>
        <w:rPr>
          <w:rFonts w:hint="eastAsia" w:ascii="Times New Roman" w:eastAsia="方正仿宋_GBK"/>
        </w:rPr>
        <w:t>在区委区政府的领导下，建立健全以区发展和改革局牵头、相关职能部门积极配合、各镇（街）政府和重点能源企业细化落实的能源规划组织领导和协调机制。主动对接省、市相关能源规划，明确相关主体工作责任，共同推进落实规划目标和任务。积极争取国家、省、市在能源领域的示范试点、重大改革、重大项目。加强对能源重大战略问题的研究和审议，最大限度减少涉稳重大问题的发生，促进能源规划与国民经济和社会发展规划、国土空间规划的衔接，推动能源规划目标任务和重点项目顺利实施。</w:t>
      </w:r>
    </w:p>
    <w:p>
      <w:pPr>
        <w:pStyle w:val="44"/>
        <w:ind w:firstLine="643"/>
        <w:rPr>
          <w:rFonts w:ascii="Times New Roman" w:eastAsia="方正仿宋_GBK"/>
        </w:rPr>
      </w:pPr>
      <w:r>
        <w:rPr>
          <w:rFonts w:hint="eastAsia" w:ascii="Times New Roman" w:eastAsia="方正仿宋_GBK"/>
          <w:b/>
          <w:bCs/>
        </w:rPr>
        <w:t>2.</w:t>
      </w:r>
      <w:r>
        <w:rPr>
          <w:rFonts w:ascii="Times New Roman" w:eastAsia="方正仿宋_GBK"/>
          <w:b/>
          <w:bCs/>
        </w:rPr>
        <w:t xml:space="preserve"> </w:t>
      </w:r>
      <w:r>
        <w:rPr>
          <w:rFonts w:hint="eastAsia" w:ascii="Times New Roman" w:eastAsia="方正仿宋_GBK"/>
          <w:b/>
          <w:bCs/>
        </w:rPr>
        <w:t>加强规划衔接。</w:t>
      </w:r>
      <w:r>
        <w:rPr>
          <w:rFonts w:hint="eastAsia" w:ascii="Times New Roman" w:eastAsia="方正仿宋_GBK"/>
        </w:rPr>
        <w:t>积极对接省、市相关能源规划，分解落实约束性目标，落实牵头单位和工作责任，明确实施进度和推进措施，逐项落实目标任务。统筹安排项目建设，重点做好能源项目建设用地、环境总量指标平衡，协调能源规划与节能、电动汽车充电基础设施等专项规划，做好公众沟通，促进能源项目科学布局和顺利落地。</w:t>
      </w:r>
    </w:p>
    <w:p>
      <w:pPr>
        <w:pStyle w:val="44"/>
        <w:ind w:firstLine="643"/>
        <w:rPr>
          <w:rFonts w:ascii="Times New Roman" w:eastAsia="方正仿宋_GBK"/>
        </w:rPr>
      </w:pPr>
      <w:r>
        <w:rPr>
          <w:rFonts w:hint="eastAsia" w:ascii="Times New Roman" w:eastAsia="方正仿宋_GBK"/>
          <w:b/>
          <w:bCs/>
        </w:rPr>
        <w:t>3.</w:t>
      </w:r>
      <w:r>
        <w:rPr>
          <w:rFonts w:ascii="Times New Roman" w:eastAsia="方正仿宋_GBK"/>
          <w:b/>
          <w:bCs/>
        </w:rPr>
        <w:t xml:space="preserve"> </w:t>
      </w:r>
      <w:r>
        <w:rPr>
          <w:rFonts w:hint="eastAsia" w:ascii="Times New Roman" w:eastAsia="方正仿宋_GBK"/>
          <w:b/>
          <w:bCs/>
        </w:rPr>
        <w:t>加强政策支持。</w:t>
      </w:r>
      <w:r>
        <w:rPr>
          <w:rFonts w:hint="eastAsia" w:ascii="Times New Roman" w:eastAsia="方正仿宋_GBK"/>
        </w:rPr>
        <w:t>积极落实项目投资资金，充分发挥惠阳区财政资金的引导作用，加强重点领域财政支持。在区级财政产业发展资金中安排财政补贴、补助资金，促进清洁能源推广和可再生能源开发、支持新能源产业发展。在政府财政预算中，落实有关工作经费，保障能源改革发展、安全生产领域的财政投入。充分发挥金融促进作用。支持和鼓励企业充分运用国家、省、市有关投资、金融和企业债券等政策，支持金融机构加大能源项目建设融资，加大担保力度，鼓励风险投资按照风险可控原则以多种方式参与能源项目。</w:t>
      </w:r>
    </w:p>
    <w:p>
      <w:pPr>
        <w:pStyle w:val="44"/>
        <w:ind w:firstLine="643"/>
        <w:rPr>
          <w:rFonts w:ascii="Times New Roman" w:eastAsia="方正仿宋_GBK"/>
        </w:rPr>
      </w:pPr>
      <w:r>
        <w:rPr>
          <w:rFonts w:hint="eastAsia" w:ascii="Times New Roman" w:eastAsia="方正仿宋_GBK"/>
          <w:b/>
          <w:bCs/>
        </w:rPr>
        <w:t>4.</w:t>
      </w:r>
      <w:r>
        <w:rPr>
          <w:rFonts w:ascii="Times New Roman" w:eastAsia="方正仿宋_GBK"/>
          <w:b/>
          <w:bCs/>
        </w:rPr>
        <w:t xml:space="preserve"> </w:t>
      </w:r>
      <w:r>
        <w:rPr>
          <w:rFonts w:hint="eastAsia" w:ascii="Times New Roman" w:eastAsia="方正仿宋_GBK"/>
          <w:b/>
          <w:bCs/>
        </w:rPr>
        <w:t>鼓励全员参与。</w:t>
      </w:r>
      <w:r>
        <w:rPr>
          <w:rFonts w:hint="eastAsia" w:ascii="Times New Roman" w:eastAsia="方正仿宋_GBK"/>
        </w:rPr>
        <w:t>鼓励公众广泛参与，采取灵活多样形式，加大规划的宣传力度，进一步凝聚社会共识。探索创新公众参与形式，及时发布相关信息，提高能源规划实施的透明度，集全区之力和各方之智共同落实规划。</w:t>
      </w:r>
    </w:p>
    <w:p>
      <w:pPr>
        <w:pStyle w:val="44"/>
        <w:ind w:firstLine="643"/>
      </w:pPr>
      <w:r>
        <w:rPr>
          <w:rFonts w:hint="eastAsia" w:ascii="Times New Roman" w:eastAsia="方正仿宋_GBK"/>
          <w:b/>
          <w:bCs/>
        </w:rPr>
        <w:t>5.</w:t>
      </w:r>
      <w:r>
        <w:rPr>
          <w:rFonts w:ascii="Times New Roman" w:eastAsia="方正仿宋_GBK"/>
          <w:b/>
          <w:bCs/>
        </w:rPr>
        <w:t xml:space="preserve"> </w:t>
      </w:r>
      <w:r>
        <w:rPr>
          <w:rFonts w:hint="eastAsia" w:ascii="Times New Roman" w:eastAsia="方正仿宋_GBK"/>
          <w:b/>
          <w:bCs/>
        </w:rPr>
        <w:t>加强评估调整。</w:t>
      </w:r>
      <w:r>
        <w:rPr>
          <w:rFonts w:hint="eastAsia" w:ascii="Times New Roman" w:eastAsia="方正仿宋_GBK"/>
        </w:rPr>
        <w:t>做好规划实施评估，将能源发展工作目标纳入经济社会发展目标，建立完善中期评估与终期评估相结合、年度工作任务与定期督促检查相结合的规划实施工作机制，委托第三方机构开展评估工作，及时查找发现问题，提出对应措施和调整意见, 修订调整能源规划目标和任务，强化能源规划对全区能源改革发展的指导地位。</w:t>
      </w:r>
    </w:p>
    <w:p>
      <w:pPr>
        <w:jc w:val="center"/>
        <w:rPr>
          <w:rFonts w:ascii="Times New Roman" w:hAnsi="Times New Roman"/>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p>
  <w:p>
    <w:pPr>
      <w:pStyle w:val="9"/>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509751"/>
      <w:showingPlcHdr/>
    </w:sdtPr>
    <w:sdtContent>
      <w:p>
        <w:pPr>
          <w:pStyle w:val="9"/>
          <w:ind w:firstLine="360"/>
          <w:jc w:val="center"/>
        </w:pPr>
        <w:r>
          <w:t xml:space="preserve">     </w:t>
        </w:r>
      </w:p>
    </w:sdtContent>
  </w:sdt>
  <w:p>
    <w:pPr>
      <w:pStyle w:val="9"/>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8071851"/>
    </w:sdtPr>
    <w:sdtContent>
      <w:p>
        <w:pPr>
          <w:pStyle w:val="9"/>
          <w:ind w:firstLine="360"/>
          <w:jc w:val="center"/>
        </w:pPr>
        <w:r>
          <w:fldChar w:fldCharType="begin"/>
        </w:r>
        <w:r>
          <w:instrText xml:space="preserve">PAGE   \* MERGEFORMAT</w:instrText>
        </w:r>
        <w:r>
          <w:fldChar w:fldCharType="separate"/>
        </w:r>
        <w:r>
          <w:rPr>
            <w:lang w:val="zh-CN"/>
          </w:rPr>
          <w:t>4</w:t>
        </w:r>
        <w:r>
          <w:fldChar w:fldCharType="end"/>
        </w:r>
      </w:p>
    </w:sdtContent>
  </w:sdt>
  <w:p>
    <w:pPr>
      <w:pStyle w:val="9"/>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46"/>
        <w:rPr>
          <w:sz w:val="16"/>
        </w:rPr>
      </w:pPr>
      <w:r>
        <w:rPr>
          <w:rStyle w:val="25"/>
          <w:rFonts w:hint="eastAsia"/>
        </w:rPr>
        <w:footnoteRef/>
      </w:r>
      <w:r>
        <w:rPr>
          <w:rFonts w:hint="eastAsia"/>
        </w:rPr>
        <w:t>《惠阳区成品油零售系统十四五发展规划》</w:t>
      </w:r>
    </w:p>
  </w:footnote>
  <w:footnote w:id="1">
    <w:p>
      <w:pPr>
        <w:pStyle w:val="46"/>
        <w:rPr>
          <w:sz w:val="16"/>
          <w:szCs w:val="16"/>
        </w:rPr>
      </w:pPr>
      <w:r>
        <w:rPr>
          <w:rStyle w:val="25"/>
          <w:rFonts w:hint="eastAsia"/>
          <w:sz w:val="16"/>
          <w:szCs w:val="16"/>
        </w:rPr>
        <w:footnoteRef/>
      </w:r>
      <w:r>
        <w:rPr>
          <w:rFonts w:hint="eastAsia"/>
          <w:sz w:val="16"/>
          <w:szCs w:val="16"/>
        </w:rPr>
        <w:t xml:space="preserve"> 惠州市惠阳区城镇燃气专项规划（2020-2035）；</w:t>
      </w:r>
    </w:p>
  </w:footnote>
  <w:footnote w:id="2">
    <w:p>
      <w:pPr>
        <w:pStyle w:val="46"/>
        <w:rPr>
          <w:color w:val="C00000"/>
          <w:sz w:val="16"/>
          <w:szCs w:val="16"/>
        </w:rPr>
      </w:pPr>
      <w:r>
        <w:rPr>
          <w:rStyle w:val="25"/>
          <w:rFonts w:hint="eastAsia"/>
          <w:sz w:val="16"/>
          <w:szCs w:val="16"/>
        </w:rPr>
        <w:footnoteRef/>
      </w:r>
      <w:r>
        <w:rPr>
          <w:rFonts w:hint="eastAsia"/>
          <w:sz w:val="16"/>
          <w:szCs w:val="16"/>
        </w:rPr>
        <w:t xml:space="preserve"> 清洁能源包括天然气、电力、液化石油气、代替燃料和可再生能源。</w:t>
      </w:r>
    </w:p>
  </w:footnote>
  <w:footnote w:id="3">
    <w:p>
      <w:pPr>
        <w:pStyle w:val="13"/>
      </w:pPr>
      <w:r>
        <w:rPr>
          <w:rStyle w:val="25"/>
        </w:rPr>
        <w:footnoteRef/>
      </w:r>
      <w:r>
        <w:t xml:space="preserve"> </w:t>
      </w:r>
      <w:r>
        <w:rPr>
          <w:rFonts w:hint="eastAsia" w:ascii="仿宋_GB2312" w:eastAsia="仿宋_GB2312"/>
        </w:rPr>
        <w:t>《惠州市成品油分销体系“十四五”发展规划》</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14"/>
    <w:rsid w:val="00000165"/>
    <w:rsid w:val="00001987"/>
    <w:rsid w:val="00002058"/>
    <w:rsid w:val="00003020"/>
    <w:rsid w:val="000057C5"/>
    <w:rsid w:val="000073CC"/>
    <w:rsid w:val="000075B0"/>
    <w:rsid w:val="0001016C"/>
    <w:rsid w:val="00010917"/>
    <w:rsid w:val="00010B9E"/>
    <w:rsid w:val="00010D4E"/>
    <w:rsid w:val="00010DB9"/>
    <w:rsid w:val="00015386"/>
    <w:rsid w:val="00017616"/>
    <w:rsid w:val="00017986"/>
    <w:rsid w:val="000242B6"/>
    <w:rsid w:val="0002504C"/>
    <w:rsid w:val="00027E16"/>
    <w:rsid w:val="00027E45"/>
    <w:rsid w:val="00031922"/>
    <w:rsid w:val="00031967"/>
    <w:rsid w:val="00032DD3"/>
    <w:rsid w:val="00034CEC"/>
    <w:rsid w:val="00036156"/>
    <w:rsid w:val="00036CD6"/>
    <w:rsid w:val="000401C6"/>
    <w:rsid w:val="00042826"/>
    <w:rsid w:val="0004363C"/>
    <w:rsid w:val="00043A54"/>
    <w:rsid w:val="00044756"/>
    <w:rsid w:val="000450C0"/>
    <w:rsid w:val="00046DB3"/>
    <w:rsid w:val="00055FF8"/>
    <w:rsid w:val="00056BFD"/>
    <w:rsid w:val="0006080C"/>
    <w:rsid w:val="00061D56"/>
    <w:rsid w:val="00062F27"/>
    <w:rsid w:val="00063DCB"/>
    <w:rsid w:val="00063DD5"/>
    <w:rsid w:val="00064A5C"/>
    <w:rsid w:val="00064F8A"/>
    <w:rsid w:val="0006660A"/>
    <w:rsid w:val="00066C9B"/>
    <w:rsid w:val="0006753C"/>
    <w:rsid w:val="00067C9D"/>
    <w:rsid w:val="00070EE7"/>
    <w:rsid w:val="0007112E"/>
    <w:rsid w:val="0007121E"/>
    <w:rsid w:val="00071C18"/>
    <w:rsid w:val="00072A6A"/>
    <w:rsid w:val="00072DF2"/>
    <w:rsid w:val="000747BA"/>
    <w:rsid w:val="00075E6F"/>
    <w:rsid w:val="000771D3"/>
    <w:rsid w:val="0007782C"/>
    <w:rsid w:val="00080005"/>
    <w:rsid w:val="000820B1"/>
    <w:rsid w:val="000825C8"/>
    <w:rsid w:val="000829F3"/>
    <w:rsid w:val="00082A32"/>
    <w:rsid w:val="00090B3B"/>
    <w:rsid w:val="00091BDE"/>
    <w:rsid w:val="00092115"/>
    <w:rsid w:val="00095C48"/>
    <w:rsid w:val="000966F9"/>
    <w:rsid w:val="000A0033"/>
    <w:rsid w:val="000A11C2"/>
    <w:rsid w:val="000A1923"/>
    <w:rsid w:val="000A1F7C"/>
    <w:rsid w:val="000A42FF"/>
    <w:rsid w:val="000A71FE"/>
    <w:rsid w:val="000A79E1"/>
    <w:rsid w:val="000B017C"/>
    <w:rsid w:val="000B0335"/>
    <w:rsid w:val="000B0B96"/>
    <w:rsid w:val="000B24BC"/>
    <w:rsid w:val="000B4B6F"/>
    <w:rsid w:val="000B5027"/>
    <w:rsid w:val="000B7F18"/>
    <w:rsid w:val="000C0136"/>
    <w:rsid w:val="000C0913"/>
    <w:rsid w:val="000C1359"/>
    <w:rsid w:val="000C222E"/>
    <w:rsid w:val="000C24D9"/>
    <w:rsid w:val="000C5694"/>
    <w:rsid w:val="000C58DC"/>
    <w:rsid w:val="000C767F"/>
    <w:rsid w:val="000D19D1"/>
    <w:rsid w:val="000D2DAE"/>
    <w:rsid w:val="000E12AC"/>
    <w:rsid w:val="000E1BED"/>
    <w:rsid w:val="000E1DBA"/>
    <w:rsid w:val="000E20AE"/>
    <w:rsid w:val="000E2C09"/>
    <w:rsid w:val="000E5140"/>
    <w:rsid w:val="000E5DF3"/>
    <w:rsid w:val="000E75D9"/>
    <w:rsid w:val="000F0002"/>
    <w:rsid w:val="000F0EBA"/>
    <w:rsid w:val="000F33C6"/>
    <w:rsid w:val="000F4219"/>
    <w:rsid w:val="000F46D8"/>
    <w:rsid w:val="000F4DCD"/>
    <w:rsid w:val="000F6484"/>
    <w:rsid w:val="000F66BC"/>
    <w:rsid w:val="000F6A5C"/>
    <w:rsid w:val="0010065F"/>
    <w:rsid w:val="001013CA"/>
    <w:rsid w:val="00101E5D"/>
    <w:rsid w:val="00102622"/>
    <w:rsid w:val="0010296A"/>
    <w:rsid w:val="00103B2A"/>
    <w:rsid w:val="001040F2"/>
    <w:rsid w:val="00104F56"/>
    <w:rsid w:val="00105FC4"/>
    <w:rsid w:val="00106569"/>
    <w:rsid w:val="00116EEF"/>
    <w:rsid w:val="00124F1C"/>
    <w:rsid w:val="001317C4"/>
    <w:rsid w:val="00131B79"/>
    <w:rsid w:val="00132644"/>
    <w:rsid w:val="0013514E"/>
    <w:rsid w:val="00135BAF"/>
    <w:rsid w:val="00135D82"/>
    <w:rsid w:val="00136B22"/>
    <w:rsid w:val="00136BB7"/>
    <w:rsid w:val="00140C0C"/>
    <w:rsid w:val="00140D5B"/>
    <w:rsid w:val="00141658"/>
    <w:rsid w:val="00143404"/>
    <w:rsid w:val="00143444"/>
    <w:rsid w:val="00143BF5"/>
    <w:rsid w:val="00144909"/>
    <w:rsid w:val="001470B6"/>
    <w:rsid w:val="001505E0"/>
    <w:rsid w:val="001539D5"/>
    <w:rsid w:val="001549E4"/>
    <w:rsid w:val="00154BDE"/>
    <w:rsid w:val="001603BA"/>
    <w:rsid w:val="00160ADB"/>
    <w:rsid w:val="00160F3D"/>
    <w:rsid w:val="00160F7C"/>
    <w:rsid w:val="001629BA"/>
    <w:rsid w:val="00164032"/>
    <w:rsid w:val="00164354"/>
    <w:rsid w:val="00165B8C"/>
    <w:rsid w:val="00166418"/>
    <w:rsid w:val="001666A3"/>
    <w:rsid w:val="00166F88"/>
    <w:rsid w:val="00171789"/>
    <w:rsid w:val="001735E3"/>
    <w:rsid w:val="001736F8"/>
    <w:rsid w:val="00173CA0"/>
    <w:rsid w:val="0017402A"/>
    <w:rsid w:val="00175638"/>
    <w:rsid w:val="0018125B"/>
    <w:rsid w:val="0018143B"/>
    <w:rsid w:val="00181D22"/>
    <w:rsid w:val="00182DEA"/>
    <w:rsid w:val="00187B8E"/>
    <w:rsid w:val="00190CA2"/>
    <w:rsid w:val="001915FF"/>
    <w:rsid w:val="00192255"/>
    <w:rsid w:val="00192758"/>
    <w:rsid w:val="00193766"/>
    <w:rsid w:val="0019452B"/>
    <w:rsid w:val="0019550B"/>
    <w:rsid w:val="00195E9C"/>
    <w:rsid w:val="00196499"/>
    <w:rsid w:val="00196B99"/>
    <w:rsid w:val="001A02C0"/>
    <w:rsid w:val="001A0D13"/>
    <w:rsid w:val="001A323E"/>
    <w:rsid w:val="001A4BC0"/>
    <w:rsid w:val="001A54E6"/>
    <w:rsid w:val="001B05AF"/>
    <w:rsid w:val="001B0D8D"/>
    <w:rsid w:val="001B0F95"/>
    <w:rsid w:val="001B2488"/>
    <w:rsid w:val="001B355B"/>
    <w:rsid w:val="001B3CDA"/>
    <w:rsid w:val="001B4389"/>
    <w:rsid w:val="001B498F"/>
    <w:rsid w:val="001C3A66"/>
    <w:rsid w:val="001C3DC6"/>
    <w:rsid w:val="001C4931"/>
    <w:rsid w:val="001D04D0"/>
    <w:rsid w:val="001D0FB9"/>
    <w:rsid w:val="001D23C0"/>
    <w:rsid w:val="001D34F3"/>
    <w:rsid w:val="001D50A8"/>
    <w:rsid w:val="001D68EB"/>
    <w:rsid w:val="001D7AAC"/>
    <w:rsid w:val="001E1402"/>
    <w:rsid w:val="001E1D11"/>
    <w:rsid w:val="001E2142"/>
    <w:rsid w:val="001E244D"/>
    <w:rsid w:val="001E3EED"/>
    <w:rsid w:val="001E4884"/>
    <w:rsid w:val="001E493D"/>
    <w:rsid w:val="001E58F5"/>
    <w:rsid w:val="001F1035"/>
    <w:rsid w:val="001F2F1D"/>
    <w:rsid w:val="001F4397"/>
    <w:rsid w:val="001F75F2"/>
    <w:rsid w:val="001F7976"/>
    <w:rsid w:val="00200DAF"/>
    <w:rsid w:val="002043E0"/>
    <w:rsid w:val="00205D9C"/>
    <w:rsid w:val="002078D2"/>
    <w:rsid w:val="0021031B"/>
    <w:rsid w:val="0021153F"/>
    <w:rsid w:val="00211B9A"/>
    <w:rsid w:val="00212C8B"/>
    <w:rsid w:val="002139A1"/>
    <w:rsid w:val="0021476B"/>
    <w:rsid w:val="00216BF5"/>
    <w:rsid w:val="00217A19"/>
    <w:rsid w:val="00222445"/>
    <w:rsid w:val="002230D1"/>
    <w:rsid w:val="0022326B"/>
    <w:rsid w:val="002246E1"/>
    <w:rsid w:val="002248C7"/>
    <w:rsid w:val="00224B53"/>
    <w:rsid w:val="002254EE"/>
    <w:rsid w:val="002260B8"/>
    <w:rsid w:val="00226FC5"/>
    <w:rsid w:val="00230801"/>
    <w:rsid w:val="002309A8"/>
    <w:rsid w:val="00232087"/>
    <w:rsid w:val="0023279B"/>
    <w:rsid w:val="002353B2"/>
    <w:rsid w:val="0023675D"/>
    <w:rsid w:val="002374C2"/>
    <w:rsid w:val="0023755D"/>
    <w:rsid w:val="0024076A"/>
    <w:rsid w:val="00243AC2"/>
    <w:rsid w:val="00243BF8"/>
    <w:rsid w:val="00245432"/>
    <w:rsid w:val="002455F1"/>
    <w:rsid w:val="002462DB"/>
    <w:rsid w:val="00247A09"/>
    <w:rsid w:val="00247E34"/>
    <w:rsid w:val="00250202"/>
    <w:rsid w:val="002503ED"/>
    <w:rsid w:val="0025168E"/>
    <w:rsid w:val="0025196A"/>
    <w:rsid w:val="00251F14"/>
    <w:rsid w:val="0025281A"/>
    <w:rsid w:val="00252983"/>
    <w:rsid w:val="00252DD2"/>
    <w:rsid w:val="00254996"/>
    <w:rsid w:val="00255C77"/>
    <w:rsid w:val="002604DD"/>
    <w:rsid w:val="0026130D"/>
    <w:rsid w:val="00262505"/>
    <w:rsid w:val="00263A3F"/>
    <w:rsid w:val="0026414D"/>
    <w:rsid w:val="00264980"/>
    <w:rsid w:val="00265709"/>
    <w:rsid w:val="00265C53"/>
    <w:rsid w:val="00271227"/>
    <w:rsid w:val="002714FE"/>
    <w:rsid w:val="00271612"/>
    <w:rsid w:val="002728FC"/>
    <w:rsid w:val="00272DEC"/>
    <w:rsid w:val="002773FA"/>
    <w:rsid w:val="00277AA4"/>
    <w:rsid w:val="00277B76"/>
    <w:rsid w:val="002804B5"/>
    <w:rsid w:val="00281745"/>
    <w:rsid w:val="00281BF4"/>
    <w:rsid w:val="00281C60"/>
    <w:rsid w:val="00284D53"/>
    <w:rsid w:val="0028737B"/>
    <w:rsid w:val="00287748"/>
    <w:rsid w:val="00290BFE"/>
    <w:rsid w:val="002921F5"/>
    <w:rsid w:val="00293743"/>
    <w:rsid w:val="00293E87"/>
    <w:rsid w:val="0029606E"/>
    <w:rsid w:val="002A3334"/>
    <w:rsid w:val="002A4EB1"/>
    <w:rsid w:val="002A7F6D"/>
    <w:rsid w:val="002B0113"/>
    <w:rsid w:val="002B5D11"/>
    <w:rsid w:val="002B75EA"/>
    <w:rsid w:val="002C06DC"/>
    <w:rsid w:val="002C41F0"/>
    <w:rsid w:val="002C55AD"/>
    <w:rsid w:val="002C5C4F"/>
    <w:rsid w:val="002C5F64"/>
    <w:rsid w:val="002D113E"/>
    <w:rsid w:val="002D1227"/>
    <w:rsid w:val="002D1383"/>
    <w:rsid w:val="002D2964"/>
    <w:rsid w:val="002D3DF2"/>
    <w:rsid w:val="002D4089"/>
    <w:rsid w:val="002D50D4"/>
    <w:rsid w:val="002D6EC1"/>
    <w:rsid w:val="002D6EE6"/>
    <w:rsid w:val="002D6F16"/>
    <w:rsid w:val="002E149A"/>
    <w:rsid w:val="002E1812"/>
    <w:rsid w:val="002E3491"/>
    <w:rsid w:val="002E36B5"/>
    <w:rsid w:val="002E3D7B"/>
    <w:rsid w:val="002E48B4"/>
    <w:rsid w:val="002E6740"/>
    <w:rsid w:val="002E753D"/>
    <w:rsid w:val="002E7AFA"/>
    <w:rsid w:val="002F0B23"/>
    <w:rsid w:val="002F1DD7"/>
    <w:rsid w:val="002F1E9C"/>
    <w:rsid w:val="002F22F9"/>
    <w:rsid w:val="002F417E"/>
    <w:rsid w:val="002F4F3F"/>
    <w:rsid w:val="002F54DE"/>
    <w:rsid w:val="002F65DD"/>
    <w:rsid w:val="00301172"/>
    <w:rsid w:val="003015C7"/>
    <w:rsid w:val="00303CD2"/>
    <w:rsid w:val="00303E4E"/>
    <w:rsid w:val="00310F1B"/>
    <w:rsid w:val="003128D0"/>
    <w:rsid w:val="00312B8B"/>
    <w:rsid w:val="00312BBC"/>
    <w:rsid w:val="00313D95"/>
    <w:rsid w:val="003155C5"/>
    <w:rsid w:val="00315F54"/>
    <w:rsid w:val="00317589"/>
    <w:rsid w:val="00320467"/>
    <w:rsid w:val="00320808"/>
    <w:rsid w:val="003209D8"/>
    <w:rsid w:val="00321268"/>
    <w:rsid w:val="003219EC"/>
    <w:rsid w:val="00323F2D"/>
    <w:rsid w:val="00323FE2"/>
    <w:rsid w:val="0032477D"/>
    <w:rsid w:val="003273A0"/>
    <w:rsid w:val="003273F8"/>
    <w:rsid w:val="00332363"/>
    <w:rsid w:val="0033323A"/>
    <w:rsid w:val="00334175"/>
    <w:rsid w:val="00334B42"/>
    <w:rsid w:val="00334C44"/>
    <w:rsid w:val="003368CA"/>
    <w:rsid w:val="003372FF"/>
    <w:rsid w:val="003374D2"/>
    <w:rsid w:val="00337934"/>
    <w:rsid w:val="00341099"/>
    <w:rsid w:val="00342892"/>
    <w:rsid w:val="00342E0A"/>
    <w:rsid w:val="00345C05"/>
    <w:rsid w:val="00345E74"/>
    <w:rsid w:val="00346A29"/>
    <w:rsid w:val="003474D0"/>
    <w:rsid w:val="003478DB"/>
    <w:rsid w:val="003504B8"/>
    <w:rsid w:val="00350E54"/>
    <w:rsid w:val="0035227B"/>
    <w:rsid w:val="00353068"/>
    <w:rsid w:val="00354F61"/>
    <w:rsid w:val="0035694E"/>
    <w:rsid w:val="00356961"/>
    <w:rsid w:val="0035733E"/>
    <w:rsid w:val="00363519"/>
    <w:rsid w:val="003640AC"/>
    <w:rsid w:val="0036498C"/>
    <w:rsid w:val="0036508E"/>
    <w:rsid w:val="0036554B"/>
    <w:rsid w:val="00365867"/>
    <w:rsid w:val="00366B50"/>
    <w:rsid w:val="003700D8"/>
    <w:rsid w:val="003708D9"/>
    <w:rsid w:val="003718B3"/>
    <w:rsid w:val="00371E6C"/>
    <w:rsid w:val="00372B6A"/>
    <w:rsid w:val="00373DE8"/>
    <w:rsid w:val="00373E8D"/>
    <w:rsid w:val="00374CE3"/>
    <w:rsid w:val="00374FEC"/>
    <w:rsid w:val="00375746"/>
    <w:rsid w:val="0037576B"/>
    <w:rsid w:val="0037627A"/>
    <w:rsid w:val="0037642D"/>
    <w:rsid w:val="00376734"/>
    <w:rsid w:val="00382861"/>
    <w:rsid w:val="00383155"/>
    <w:rsid w:val="003836D0"/>
    <w:rsid w:val="003840A0"/>
    <w:rsid w:val="00385202"/>
    <w:rsid w:val="00386DD3"/>
    <w:rsid w:val="00387BB7"/>
    <w:rsid w:val="00391017"/>
    <w:rsid w:val="00391843"/>
    <w:rsid w:val="00392D48"/>
    <w:rsid w:val="003930D3"/>
    <w:rsid w:val="0039450B"/>
    <w:rsid w:val="003957E6"/>
    <w:rsid w:val="003963D4"/>
    <w:rsid w:val="00396765"/>
    <w:rsid w:val="003976CD"/>
    <w:rsid w:val="003A1376"/>
    <w:rsid w:val="003A230A"/>
    <w:rsid w:val="003A354B"/>
    <w:rsid w:val="003A4225"/>
    <w:rsid w:val="003A48CE"/>
    <w:rsid w:val="003B04C2"/>
    <w:rsid w:val="003B3ED7"/>
    <w:rsid w:val="003B43D2"/>
    <w:rsid w:val="003B4404"/>
    <w:rsid w:val="003B6B1D"/>
    <w:rsid w:val="003B7118"/>
    <w:rsid w:val="003B78B9"/>
    <w:rsid w:val="003C027C"/>
    <w:rsid w:val="003C0EEF"/>
    <w:rsid w:val="003C14AF"/>
    <w:rsid w:val="003C317E"/>
    <w:rsid w:val="003C4773"/>
    <w:rsid w:val="003C4DD8"/>
    <w:rsid w:val="003D0157"/>
    <w:rsid w:val="003D0578"/>
    <w:rsid w:val="003D1191"/>
    <w:rsid w:val="003D12C1"/>
    <w:rsid w:val="003D1C7A"/>
    <w:rsid w:val="003D2C82"/>
    <w:rsid w:val="003D2FD2"/>
    <w:rsid w:val="003D4F40"/>
    <w:rsid w:val="003D5805"/>
    <w:rsid w:val="003D612E"/>
    <w:rsid w:val="003D6893"/>
    <w:rsid w:val="003D6E98"/>
    <w:rsid w:val="003E21C3"/>
    <w:rsid w:val="003F0600"/>
    <w:rsid w:val="003F0B69"/>
    <w:rsid w:val="003F40AE"/>
    <w:rsid w:val="003F41CF"/>
    <w:rsid w:val="003F522C"/>
    <w:rsid w:val="003F5D8C"/>
    <w:rsid w:val="003F61B9"/>
    <w:rsid w:val="003F7119"/>
    <w:rsid w:val="0040007B"/>
    <w:rsid w:val="00403AC3"/>
    <w:rsid w:val="00403C29"/>
    <w:rsid w:val="00404411"/>
    <w:rsid w:val="00404534"/>
    <w:rsid w:val="004060DF"/>
    <w:rsid w:val="004107FF"/>
    <w:rsid w:val="00410975"/>
    <w:rsid w:val="00412C63"/>
    <w:rsid w:val="00412E01"/>
    <w:rsid w:val="004138B0"/>
    <w:rsid w:val="00414464"/>
    <w:rsid w:val="00420E8F"/>
    <w:rsid w:val="00421D62"/>
    <w:rsid w:val="004226AB"/>
    <w:rsid w:val="0042473B"/>
    <w:rsid w:val="00424D34"/>
    <w:rsid w:val="004255F4"/>
    <w:rsid w:val="00425A8A"/>
    <w:rsid w:val="004262E7"/>
    <w:rsid w:val="00426A3E"/>
    <w:rsid w:val="00430779"/>
    <w:rsid w:val="0043194F"/>
    <w:rsid w:val="00440848"/>
    <w:rsid w:val="00440AA0"/>
    <w:rsid w:val="00444783"/>
    <w:rsid w:val="00444AC7"/>
    <w:rsid w:val="00444C9B"/>
    <w:rsid w:val="00447BE2"/>
    <w:rsid w:val="00447EB8"/>
    <w:rsid w:val="00452295"/>
    <w:rsid w:val="00453359"/>
    <w:rsid w:val="00454C33"/>
    <w:rsid w:val="004552E3"/>
    <w:rsid w:val="00461F70"/>
    <w:rsid w:val="00462451"/>
    <w:rsid w:val="0046247D"/>
    <w:rsid w:val="00463B27"/>
    <w:rsid w:val="00463C0C"/>
    <w:rsid w:val="00465D36"/>
    <w:rsid w:val="00465FB6"/>
    <w:rsid w:val="00466FA9"/>
    <w:rsid w:val="004729E4"/>
    <w:rsid w:val="0047776A"/>
    <w:rsid w:val="004811A7"/>
    <w:rsid w:val="00481D4D"/>
    <w:rsid w:val="00482093"/>
    <w:rsid w:val="004845AE"/>
    <w:rsid w:val="00486CF0"/>
    <w:rsid w:val="00487194"/>
    <w:rsid w:val="00487516"/>
    <w:rsid w:val="00490C1C"/>
    <w:rsid w:val="0049184A"/>
    <w:rsid w:val="00491CCC"/>
    <w:rsid w:val="0049263A"/>
    <w:rsid w:val="00492E89"/>
    <w:rsid w:val="00493905"/>
    <w:rsid w:val="00495D66"/>
    <w:rsid w:val="00496F89"/>
    <w:rsid w:val="004A0EAA"/>
    <w:rsid w:val="004A23E6"/>
    <w:rsid w:val="004A265F"/>
    <w:rsid w:val="004A434B"/>
    <w:rsid w:val="004A44C2"/>
    <w:rsid w:val="004A4624"/>
    <w:rsid w:val="004A4697"/>
    <w:rsid w:val="004A775C"/>
    <w:rsid w:val="004B320E"/>
    <w:rsid w:val="004B4C8F"/>
    <w:rsid w:val="004B4E01"/>
    <w:rsid w:val="004B5916"/>
    <w:rsid w:val="004B6AA8"/>
    <w:rsid w:val="004B7F1F"/>
    <w:rsid w:val="004C09B0"/>
    <w:rsid w:val="004C12A0"/>
    <w:rsid w:val="004C1D4E"/>
    <w:rsid w:val="004C33D3"/>
    <w:rsid w:val="004C7F9C"/>
    <w:rsid w:val="004D0354"/>
    <w:rsid w:val="004D21B6"/>
    <w:rsid w:val="004D24D3"/>
    <w:rsid w:val="004D2D28"/>
    <w:rsid w:val="004D40BB"/>
    <w:rsid w:val="004D5266"/>
    <w:rsid w:val="004D6289"/>
    <w:rsid w:val="004D6707"/>
    <w:rsid w:val="004D6E22"/>
    <w:rsid w:val="004D76F3"/>
    <w:rsid w:val="004E017B"/>
    <w:rsid w:val="004E072A"/>
    <w:rsid w:val="004E0A54"/>
    <w:rsid w:val="004E1816"/>
    <w:rsid w:val="004E224B"/>
    <w:rsid w:val="004E3B44"/>
    <w:rsid w:val="004E4660"/>
    <w:rsid w:val="004E6FD7"/>
    <w:rsid w:val="004F2ED5"/>
    <w:rsid w:val="004F3E70"/>
    <w:rsid w:val="004F3F67"/>
    <w:rsid w:val="004F4CCA"/>
    <w:rsid w:val="004F51CE"/>
    <w:rsid w:val="004F787A"/>
    <w:rsid w:val="004F7F76"/>
    <w:rsid w:val="00500D27"/>
    <w:rsid w:val="00500FA5"/>
    <w:rsid w:val="005028FB"/>
    <w:rsid w:val="00504678"/>
    <w:rsid w:val="00504C81"/>
    <w:rsid w:val="00505104"/>
    <w:rsid w:val="0050758C"/>
    <w:rsid w:val="0050780F"/>
    <w:rsid w:val="00512CD4"/>
    <w:rsid w:val="005131BC"/>
    <w:rsid w:val="005141B7"/>
    <w:rsid w:val="005144E4"/>
    <w:rsid w:val="005149AE"/>
    <w:rsid w:val="00516E86"/>
    <w:rsid w:val="00517F6A"/>
    <w:rsid w:val="00521321"/>
    <w:rsid w:val="00521740"/>
    <w:rsid w:val="00522EE9"/>
    <w:rsid w:val="0052702F"/>
    <w:rsid w:val="00527B51"/>
    <w:rsid w:val="00527F80"/>
    <w:rsid w:val="00530972"/>
    <w:rsid w:val="00531245"/>
    <w:rsid w:val="0053322C"/>
    <w:rsid w:val="00534A43"/>
    <w:rsid w:val="00540E19"/>
    <w:rsid w:val="005413E5"/>
    <w:rsid w:val="00541F5E"/>
    <w:rsid w:val="005422D2"/>
    <w:rsid w:val="0054333A"/>
    <w:rsid w:val="005435AC"/>
    <w:rsid w:val="0054493E"/>
    <w:rsid w:val="00544C1E"/>
    <w:rsid w:val="00545A7B"/>
    <w:rsid w:val="00547E1F"/>
    <w:rsid w:val="005506B4"/>
    <w:rsid w:val="00550888"/>
    <w:rsid w:val="00550CD9"/>
    <w:rsid w:val="005517D8"/>
    <w:rsid w:val="005518A1"/>
    <w:rsid w:val="00552075"/>
    <w:rsid w:val="00552608"/>
    <w:rsid w:val="0055368C"/>
    <w:rsid w:val="00553CA7"/>
    <w:rsid w:val="00554093"/>
    <w:rsid w:val="0055662A"/>
    <w:rsid w:val="005569FC"/>
    <w:rsid w:val="005575FE"/>
    <w:rsid w:val="00561BA5"/>
    <w:rsid w:val="00562163"/>
    <w:rsid w:val="0056252E"/>
    <w:rsid w:val="00562782"/>
    <w:rsid w:val="005637E1"/>
    <w:rsid w:val="00563B1D"/>
    <w:rsid w:val="00566317"/>
    <w:rsid w:val="00567FBA"/>
    <w:rsid w:val="0057170B"/>
    <w:rsid w:val="00571E72"/>
    <w:rsid w:val="00575115"/>
    <w:rsid w:val="0057737A"/>
    <w:rsid w:val="005801BD"/>
    <w:rsid w:val="005801DC"/>
    <w:rsid w:val="005809C1"/>
    <w:rsid w:val="00580E82"/>
    <w:rsid w:val="0058298F"/>
    <w:rsid w:val="00584134"/>
    <w:rsid w:val="0058528B"/>
    <w:rsid w:val="005858EA"/>
    <w:rsid w:val="0058682D"/>
    <w:rsid w:val="00590B56"/>
    <w:rsid w:val="00591DF8"/>
    <w:rsid w:val="0059284E"/>
    <w:rsid w:val="00593A0B"/>
    <w:rsid w:val="005947CD"/>
    <w:rsid w:val="005967C7"/>
    <w:rsid w:val="00597418"/>
    <w:rsid w:val="005A0FC5"/>
    <w:rsid w:val="005A30C5"/>
    <w:rsid w:val="005A33A0"/>
    <w:rsid w:val="005A4BF8"/>
    <w:rsid w:val="005A6817"/>
    <w:rsid w:val="005A6FB5"/>
    <w:rsid w:val="005A7A95"/>
    <w:rsid w:val="005B0428"/>
    <w:rsid w:val="005B04FE"/>
    <w:rsid w:val="005B3717"/>
    <w:rsid w:val="005B668E"/>
    <w:rsid w:val="005B7642"/>
    <w:rsid w:val="005B7885"/>
    <w:rsid w:val="005C0ED0"/>
    <w:rsid w:val="005C2631"/>
    <w:rsid w:val="005C30B1"/>
    <w:rsid w:val="005C5438"/>
    <w:rsid w:val="005C6611"/>
    <w:rsid w:val="005C7F71"/>
    <w:rsid w:val="005D0A41"/>
    <w:rsid w:val="005D10F5"/>
    <w:rsid w:val="005D2D72"/>
    <w:rsid w:val="005D36DE"/>
    <w:rsid w:val="005D3CC3"/>
    <w:rsid w:val="005D4398"/>
    <w:rsid w:val="005D456B"/>
    <w:rsid w:val="005D4BFD"/>
    <w:rsid w:val="005D72D8"/>
    <w:rsid w:val="005E322A"/>
    <w:rsid w:val="005E789D"/>
    <w:rsid w:val="005E7CD1"/>
    <w:rsid w:val="005F2029"/>
    <w:rsid w:val="005F35B1"/>
    <w:rsid w:val="005F39FD"/>
    <w:rsid w:val="005F3DDB"/>
    <w:rsid w:val="005F6233"/>
    <w:rsid w:val="005F6F5E"/>
    <w:rsid w:val="005F7F12"/>
    <w:rsid w:val="006025E4"/>
    <w:rsid w:val="00602955"/>
    <w:rsid w:val="00602A7C"/>
    <w:rsid w:val="006037DB"/>
    <w:rsid w:val="006046B9"/>
    <w:rsid w:val="00604C88"/>
    <w:rsid w:val="00607D0E"/>
    <w:rsid w:val="00611563"/>
    <w:rsid w:val="0061244C"/>
    <w:rsid w:val="00613E45"/>
    <w:rsid w:val="00616607"/>
    <w:rsid w:val="006167A7"/>
    <w:rsid w:val="00616FFD"/>
    <w:rsid w:val="00617AA6"/>
    <w:rsid w:val="00617D83"/>
    <w:rsid w:val="006204D5"/>
    <w:rsid w:val="00621595"/>
    <w:rsid w:val="006222FF"/>
    <w:rsid w:val="006230AB"/>
    <w:rsid w:val="00623EED"/>
    <w:rsid w:val="00624F00"/>
    <w:rsid w:val="00625E2F"/>
    <w:rsid w:val="00631CEB"/>
    <w:rsid w:val="00632817"/>
    <w:rsid w:val="00635A19"/>
    <w:rsid w:val="00643C82"/>
    <w:rsid w:val="00644612"/>
    <w:rsid w:val="00644EE3"/>
    <w:rsid w:val="00646F17"/>
    <w:rsid w:val="006476B9"/>
    <w:rsid w:val="0065167F"/>
    <w:rsid w:val="00652DBC"/>
    <w:rsid w:val="00653A43"/>
    <w:rsid w:val="006559B7"/>
    <w:rsid w:val="00655FDE"/>
    <w:rsid w:val="00656106"/>
    <w:rsid w:val="00656A86"/>
    <w:rsid w:val="00656FE5"/>
    <w:rsid w:val="00657024"/>
    <w:rsid w:val="00661A47"/>
    <w:rsid w:val="006646FC"/>
    <w:rsid w:val="006663C0"/>
    <w:rsid w:val="00667EE5"/>
    <w:rsid w:val="006703CA"/>
    <w:rsid w:val="006709E7"/>
    <w:rsid w:val="00670AE0"/>
    <w:rsid w:val="00672DC1"/>
    <w:rsid w:val="00672F63"/>
    <w:rsid w:val="00674EEB"/>
    <w:rsid w:val="00674F49"/>
    <w:rsid w:val="0067591C"/>
    <w:rsid w:val="00680E7E"/>
    <w:rsid w:val="0068138E"/>
    <w:rsid w:val="00681B6C"/>
    <w:rsid w:val="006820C8"/>
    <w:rsid w:val="006822EE"/>
    <w:rsid w:val="00682D24"/>
    <w:rsid w:val="00683A3D"/>
    <w:rsid w:val="00684D47"/>
    <w:rsid w:val="00684DEB"/>
    <w:rsid w:val="0068644B"/>
    <w:rsid w:val="00686CCA"/>
    <w:rsid w:val="00690846"/>
    <w:rsid w:val="006910C6"/>
    <w:rsid w:val="006913F2"/>
    <w:rsid w:val="00692DE5"/>
    <w:rsid w:val="006938E6"/>
    <w:rsid w:val="00693983"/>
    <w:rsid w:val="00693BE5"/>
    <w:rsid w:val="0069446D"/>
    <w:rsid w:val="00696609"/>
    <w:rsid w:val="006A0CF6"/>
    <w:rsid w:val="006A1298"/>
    <w:rsid w:val="006A3BC8"/>
    <w:rsid w:val="006A3F0F"/>
    <w:rsid w:val="006A5E41"/>
    <w:rsid w:val="006A663E"/>
    <w:rsid w:val="006A7BEE"/>
    <w:rsid w:val="006A7C9D"/>
    <w:rsid w:val="006B00D3"/>
    <w:rsid w:val="006B013C"/>
    <w:rsid w:val="006B032F"/>
    <w:rsid w:val="006B16F3"/>
    <w:rsid w:val="006B24F0"/>
    <w:rsid w:val="006B3691"/>
    <w:rsid w:val="006B4817"/>
    <w:rsid w:val="006B60B9"/>
    <w:rsid w:val="006C0873"/>
    <w:rsid w:val="006C2BB3"/>
    <w:rsid w:val="006C4672"/>
    <w:rsid w:val="006C4D58"/>
    <w:rsid w:val="006C6573"/>
    <w:rsid w:val="006D28C0"/>
    <w:rsid w:val="006D33FA"/>
    <w:rsid w:val="006D34CA"/>
    <w:rsid w:val="006D3B8F"/>
    <w:rsid w:val="006D3C5B"/>
    <w:rsid w:val="006D3EA3"/>
    <w:rsid w:val="006D40E6"/>
    <w:rsid w:val="006D525E"/>
    <w:rsid w:val="006D6D09"/>
    <w:rsid w:val="006E02FB"/>
    <w:rsid w:val="006E0DA4"/>
    <w:rsid w:val="006E21DC"/>
    <w:rsid w:val="006E3F0D"/>
    <w:rsid w:val="006E42E5"/>
    <w:rsid w:val="006E5024"/>
    <w:rsid w:val="006E63DB"/>
    <w:rsid w:val="006E7FBB"/>
    <w:rsid w:val="006F047A"/>
    <w:rsid w:val="006F1640"/>
    <w:rsid w:val="006F2C4F"/>
    <w:rsid w:val="006F2F88"/>
    <w:rsid w:val="006F3EB5"/>
    <w:rsid w:val="006F6875"/>
    <w:rsid w:val="006F76DA"/>
    <w:rsid w:val="006F7A0A"/>
    <w:rsid w:val="006F7CDC"/>
    <w:rsid w:val="0070168F"/>
    <w:rsid w:val="00704C88"/>
    <w:rsid w:val="00705C58"/>
    <w:rsid w:val="00710AE9"/>
    <w:rsid w:val="00711DD1"/>
    <w:rsid w:val="00720727"/>
    <w:rsid w:val="00721BED"/>
    <w:rsid w:val="007220C6"/>
    <w:rsid w:val="00722280"/>
    <w:rsid w:val="0072299B"/>
    <w:rsid w:val="00723834"/>
    <w:rsid w:val="007273C6"/>
    <w:rsid w:val="00727B0A"/>
    <w:rsid w:val="00730988"/>
    <w:rsid w:val="00730EB3"/>
    <w:rsid w:val="0073125F"/>
    <w:rsid w:val="00731497"/>
    <w:rsid w:val="00731FB4"/>
    <w:rsid w:val="0073343E"/>
    <w:rsid w:val="00734773"/>
    <w:rsid w:val="00740942"/>
    <w:rsid w:val="00740FD7"/>
    <w:rsid w:val="007429AE"/>
    <w:rsid w:val="00742C14"/>
    <w:rsid w:val="0075028D"/>
    <w:rsid w:val="00750F8D"/>
    <w:rsid w:val="00751E1C"/>
    <w:rsid w:val="00751E35"/>
    <w:rsid w:val="00752A09"/>
    <w:rsid w:val="0075312E"/>
    <w:rsid w:val="007573A2"/>
    <w:rsid w:val="00760863"/>
    <w:rsid w:val="0076174B"/>
    <w:rsid w:val="00762333"/>
    <w:rsid w:val="007627AC"/>
    <w:rsid w:val="00763013"/>
    <w:rsid w:val="00763C9F"/>
    <w:rsid w:val="0076494E"/>
    <w:rsid w:val="00770B0A"/>
    <w:rsid w:val="00771A63"/>
    <w:rsid w:val="00771DE5"/>
    <w:rsid w:val="007840EC"/>
    <w:rsid w:val="00784637"/>
    <w:rsid w:val="007849DB"/>
    <w:rsid w:val="00786281"/>
    <w:rsid w:val="00786B63"/>
    <w:rsid w:val="00786CD8"/>
    <w:rsid w:val="00786CDB"/>
    <w:rsid w:val="00787D73"/>
    <w:rsid w:val="00791145"/>
    <w:rsid w:val="0079235F"/>
    <w:rsid w:val="00792A1E"/>
    <w:rsid w:val="007931DA"/>
    <w:rsid w:val="007942A3"/>
    <w:rsid w:val="007949C8"/>
    <w:rsid w:val="007950B9"/>
    <w:rsid w:val="00796878"/>
    <w:rsid w:val="007A3672"/>
    <w:rsid w:val="007A3708"/>
    <w:rsid w:val="007A4809"/>
    <w:rsid w:val="007A678A"/>
    <w:rsid w:val="007B03A6"/>
    <w:rsid w:val="007B1252"/>
    <w:rsid w:val="007B16C6"/>
    <w:rsid w:val="007B252C"/>
    <w:rsid w:val="007B33E2"/>
    <w:rsid w:val="007B6F59"/>
    <w:rsid w:val="007B716E"/>
    <w:rsid w:val="007B774B"/>
    <w:rsid w:val="007C2955"/>
    <w:rsid w:val="007C3924"/>
    <w:rsid w:val="007C66D7"/>
    <w:rsid w:val="007C6746"/>
    <w:rsid w:val="007C6F58"/>
    <w:rsid w:val="007C7382"/>
    <w:rsid w:val="007C7FC1"/>
    <w:rsid w:val="007D02D7"/>
    <w:rsid w:val="007D1EF7"/>
    <w:rsid w:val="007D1F69"/>
    <w:rsid w:val="007D326F"/>
    <w:rsid w:val="007D48A9"/>
    <w:rsid w:val="007E0234"/>
    <w:rsid w:val="007E098E"/>
    <w:rsid w:val="007E3FDB"/>
    <w:rsid w:val="007E4732"/>
    <w:rsid w:val="007E5CC5"/>
    <w:rsid w:val="007E6311"/>
    <w:rsid w:val="007E6BEA"/>
    <w:rsid w:val="007E6E3F"/>
    <w:rsid w:val="007E78C0"/>
    <w:rsid w:val="007F1699"/>
    <w:rsid w:val="007F1CBF"/>
    <w:rsid w:val="007F4A73"/>
    <w:rsid w:val="007F55E8"/>
    <w:rsid w:val="007F60DB"/>
    <w:rsid w:val="00801A62"/>
    <w:rsid w:val="00803046"/>
    <w:rsid w:val="008035DC"/>
    <w:rsid w:val="00805A8D"/>
    <w:rsid w:val="008063F8"/>
    <w:rsid w:val="00812181"/>
    <w:rsid w:val="00812863"/>
    <w:rsid w:val="00813034"/>
    <w:rsid w:val="00814171"/>
    <w:rsid w:val="00815C78"/>
    <w:rsid w:val="00821222"/>
    <w:rsid w:val="0082163B"/>
    <w:rsid w:val="00822966"/>
    <w:rsid w:val="00823035"/>
    <w:rsid w:val="00824F19"/>
    <w:rsid w:val="00826D23"/>
    <w:rsid w:val="008304A1"/>
    <w:rsid w:val="00830F51"/>
    <w:rsid w:val="00832410"/>
    <w:rsid w:val="008348CD"/>
    <w:rsid w:val="00834B0D"/>
    <w:rsid w:val="00834D7E"/>
    <w:rsid w:val="008352D1"/>
    <w:rsid w:val="008358D7"/>
    <w:rsid w:val="0083627A"/>
    <w:rsid w:val="00841681"/>
    <w:rsid w:val="008471C7"/>
    <w:rsid w:val="00847771"/>
    <w:rsid w:val="00847E45"/>
    <w:rsid w:val="008502E8"/>
    <w:rsid w:val="00850AE6"/>
    <w:rsid w:val="00850D67"/>
    <w:rsid w:val="00852A50"/>
    <w:rsid w:val="00852B27"/>
    <w:rsid w:val="00852CF0"/>
    <w:rsid w:val="00853A72"/>
    <w:rsid w:val="00854A41"/>
    <w:rsid w:val="00854B32"/>
    <w:rsid w:val="00855DF7"/>
    <w:rsid w:val="00856377"/>
    <w:rsid w:val="0085637B"/>
    <w:rsid w:val="00857811"/>
    <w:rsid w:val="00863A15"/>
    <w:rsid w:val="008677EB"/>
    <w:rsid w:val="008724D8"/>
    <w:rsid w:val="00874C19"/>
    <w:rsid w:val="008759FE"/>
    <w:rsid w:val="00876119"/>
    <w:rsid w:val="0088068A"/>
    <w:rsid w:val="00882E12"/>
    <w:rsid w:val="0088512E"/>
    <w:rsid w:val="0089114A"/>
    <w:rsid w:val="008912D8"/>
    <w:rsid w:val="008922E0"/>
    <w:rsid w:val="0089265B"/>
    <w:rsid w:val="00892825"/>
    <w:rsid w:val="0089419A"/>
    <w:rsid w:val="00894218"/>
    <w:rsid w:val="00894CCC"/>
    <w:rsid w:val="00895FB8"/>
    <w:rsid w:val="00896C72"/>
    <w:rsid w:val="008A0ED8"/>
    <w:rsid w:val="008A221D"/>
    <w:rsid w:val="008A2514"/>
    <w:rsid w:val="008A3DA3"/>
    <w:rsid w:val="008A49FE"/>
    <w:rsid w:val="008A5208"/>
    <w:rsid w:val="008A7D73"/>
    <w:rsid w:val="008B05EC"/>
    <w:rsid w:val="008B18EE"/>
    <w:rsid w:val="008B30F2"/>
    <w:rsid w:val="008B4180"/>
    <w:rsid w:val="008B694C"/>
    <w:rsid w:val="008B7A47"/>
    <w:rsid w:val="008C0B9F"/>
    <w:rsid w:val="008C0D71"/>
    <w:rsid w:val="008C33AF"/>
    <w:rsid w:val="008C5511"/>
    <w:rsid w:val="008C7435"/>
    <w:rsid w:val="008C79D4"/>
    <w:rsid w:val="008C79FB"/>
    <w:rsid w:val="008C7F35"/>
    <w:rsid w:val="008D5D02"/>
    <w:rsid w:val="008D6CC2"/>
    <w:rsid w:val="008D703A"/>
    <w:rsid w:val="008D7353"/>
    <w:rsid w:val="008D746A"/>
    <w:rsid w:val="008D792C"/>
    <w:rsid w:val="008E22B4"/>
    <w:rsid w:val="008E54D3"/>
    <w:rsid w:val="008E645E"/>
    <w:rsid w:val="008E72DF"/>
    <w:rsid w:val="008E7453"/>
    <w:rsid w:val="008F0223"/>
    <w:rsid w:val="008F2743"/>
    <w:rsid w:val="008F4CE6"/>
    <w:rsid w:val="00902C0B"/>
    <w:rsid w:val="00904786"/>
    <w:rsid w:val="00904F55"/>
    <w:rsid w:val="009052D2"/>
    <w:rsid w:val="00906A8D"/>
    <w:rsid w:val="009105B4"/>
    <w:rsid w:val="00911DEC"/>
    <w:rsid w:val="0091216C"/>
    <w:rsid w:val="009127FE"/>
    <w:rsid w:val="00912BDF"/>
    <w:rsid w:val="00912C4E"/>
    <w:rsid w:val="00920AC9"/>
    <w:rsid w:val="009237C9"/>
    <w:rsid w:val="00926C53"/>
    <w:rsid w:val="00927FD4"/>
    <w:rsid w:val="00931072"/>
    <w:rsid w:val="00932033"/>
    <w:rsid w:val="009320CC"/>
    <w:rsid w:val="00932E91"/>
    <w:rsid w:val="00932F4C"/>
    <w:rsid w:val="009330F7"/>
    <w:rsid w:val="0093316F"/>
    <w:rsid w:val="00933AB1"/>
    <w:rsid w:val="00933B5D"/>
    <w:rsid w:val="00933DC5"/>
    <w:rsid w:val="0093461C"/>
    <w:rsid w:val="00934911"/>
    <w:rsid w:val="00935A60"/>
    <w:rsid w:val="00935BAE"/>
    <w:rsid w:val="00937135"/>
    <w:rsid w:val="00937F72"/>
    <w:rsid w:val="00940635"/>
    <w:rsid w:val="009408DA"/>
    <w:rsid w:val="00940F73"/>
    <w:rsid w:val="00941386"/>
    <w:rsid w:val="00942822"/>
    <w:rsid w:val="0094346D"/>
    <w:rsid w:val="00944D8A"/>
    <w:rsid w:val="00944DA5"/>
    <w:rsid w:val="00946929"/>
    <w:rsid w:val="0094784C"/>
    <w:rsid w:val="009502EA"/>
    <w:rsid w:val="00950441"/>
    <w:rsid w:val="00951810"/>
    <w:rsid w:val="009524DB"/>
    <w:rsid w:val="00954193"/>
    <w:rsid w:val="009569C2"/>
    <w:rsid w:val="0095789A"/>
    <w:rsid w:val="009612BF"/>
    <w:rsid w:val="00961604"/>
    <w:rsid w:val="00962294"/>
    <w:rsid w:val="009634AB"/>
    <w:rsid w:val="009638DD"/>
    <w:rsid w:val="0096398F"/>
    <w:rsid w:val="0096408D"/>
    <w:rsid w:val="009714DB"/>
    <w:rsid w:val="00971FFF"/>
    <w:rsid w:val="009744B3"/>
    <w:rsid w:val="00980CFC"/>
    <w:rsid w:val="00981FCD"/>
    <w:rsid w:val="009821E5"/>
    <w:rsid w:val="0098297A"/>
    <w:rsid w:val="009866FD"/>
    <w:rsid w:val="00987BAC"/>
    <w:rsid w:val="00987EEC"/>
    <w:rsid w:val="00991BBE"/>
    <w:rsid w:val="00993D4E"/>
    <w:rsid w:val="00994480"/>
    <w:rsid w:val="009953D2"/>
    <w:rsid w:val="0099633D"/>
    <w:rsid w:val="009A157A"/>
    <w:rsid w:val="009A1FA9"/>
    <w:rsid w:val="009A2DE3"/>
    <w:rsid w:val="009A4705"/>
    <w:rsid w:val="009A4A15"/>
    <w:rsid w:val="009A4B36"/>
    <w:rsid w:val="009A554D"/>
    <w:rsid w:val="009A5898"/>
    <w:rsid w:val="009A6B28"/>
    <w:rsid w:val="009A6CB1"/>
    <w:rsid w:val="009B1AEC"/>
    <w:rsid w:val="009B2391"/>
    <w:rsid w:val="009B2829"/>
    <w:rsid w:val="009B41F9"/>
    <w:rsid w:val="009B4E40"/>
    <w:rsid w:val="009B5BE8"/>
    <w:rsid w:val="009B75B3"/>
    <w:rsid w:val="009C21B6"/>
    <w:rsid w:val="009C3568"/>
    <w:rsid w:val="009C37E7"/>
    <w:rsid w:val="009C5DE8"/>
    <w:rsid w:val="009D0605"/>
    <w:rsid w:val="009D06D1"/>
    <w:rsid w:val="009D377C"/>
    <w:rsid w:val="009D7D95"/>
    <w:rsid w:val="009D7E00"/>
    <w:rsid w:val="009E1A86"/>
    <w:rsid w:val="009E1DFD"/>
    <w:rsid w:val="009E1F8C"/>
    <w:rsid w:val="009E3392"/>
    <w:rsid w:val="009E5C08"/>
    <w:rsid w:val="009E673D"/>
    <w:rsid w:val="009F1767"/>
    <w:rsid w:val="009F410D"/>
    <w:rsid w:val="00A0350E"/>
    <w:rsid w:val="00A03E0D"/>
    <w:rsid w:val="00A0430D"/>
    <w:rsid w:val="00A048C4"/>
    <w:rsid w:val="00A05902"/>
    <w:rsid w:val="00A074DE"/>
    <w:rsid w:val="00A07559"/>
    <w:rsid w:val="00A12661"/>
    <w:rsid w:val="00A158BE"/>
    <w:rsid w:val="00A15F52"/>
    <w:rsid w:val="00A1653A"/>
    <w:rsid w:val="00A20A48"/>
    <w:rsid w:val="00A20BFF"/>
    <w:rsid w:val="00A24984"/>
    <w:rsid w:val="00A275B5"/>
    <w:rsid w:val="00A307F8"/>
    <w:rsid w:val="00A33C3B"/>
    <w:rsid w:val="00A35241"/>
    <w:rsid w:val="00A36D17"/>
    <w:rsid w:val="00A3776F"/>
    <w:rsid w:val="00A37A17"/>
    <w:rsid w:val="00A41A52"/>
    <w:rsid w:val="00A41B40"/>
    <w:rsid w:val="00A44AEB"/>
    <w:rsid w:val="00A44C4D"/>
    <w:rsid w:val="00A44FFE"/>
    <w:rsid w:val="00A46BD1"/>
    <w:rsid w:val="00A46C15"/>
    <w:rsid w:val="00A475AE"/>
    <w:rsid w:val="00A476C7"/>
    <w:rsid w:val="00A50D53"/>
    <w:rsid w:val="00A5276D"/>
    <w:rsid w:val="00A5672E"/>
    <w:rsid w:val="00A60FD8"/>
    <w:rsid w:val="00A61260"/>
    <w:rsid w:val="00A62567"/>
    <w:rsid w:val="00A62F38"/>
    <w:rsid w:val="00A650DB"/>
    <w:rsid w:val="00A655FA"/>
    <w:rsid w:val="00A65BCC"/>
    <w:rsid w:val="00A66212"/>
    <w:rsid w:val="00A670F0"/>
    <w:rsid w:val="00A70270"/>
    <w:rsid w:val="00A71D44"/>
    <w:rsid w:val="00A7396B"/>
    <w:rsid w:val="00A7521C"/>
    <w:rsid w:val="00A75931"/>
    <w:rsid w:val="00A77164"/>
    <w:rsid w:val="00A77A50"/>
    <w:rsid w:val="00A826B2"/>
    <w:rsid w:val="00A832FB"/>
    <w:rsid w:val="00A83DB7"/>
    <w:rsid w:val="00A84E51"/>
    <w:rsid w:val="00A851E8"/>
    <w:rsid w:val="00A85842"/>
    <w:rsid w:val="00A860A1"/>
    <w:rsid w:val="00A86FC7"/>
    <w:rsid w:val="00A87BB6"/>
    <w:rsid w:val="00A908BD"/>
    <w:rsid w:val="00A90926"/>
    <w:rsid w:val="00A90B20"/>
    <w:rsid w:val="00A910A5"/>
    <w:rsid w:val="00A92CE2"/>
    <w:rsid w:val="00A93997"/>
    <w:rsid w:val="00A93C9E"/>
    <w:rsid w:val="00A95602"/>
    <w:rsid w:val="00A958D1"/>
    <w:rsid w:val="00AA055C"/>
    <w:rsid w:val="00AA0AAD"/>
    <w:rsid w:val="00AA15D8"/>
    <w:rsid w:val="00AA2376"/>
    <w:rsid w:val="00AA2B0D"/>
    <w:rsid w:val="00AA2D3C"/>
    <w:rsid w:val="00AA7593"/>
    <w:rsid w:val="00AA7C0A"/>
    <w:rsid w:val="00AB1E21"/>
    <w:rsid w:val="00AB2CA8"/>
    <w:rsid w:val="00AB43CB"/>
    <w:rsid w:val="00AB5F15"/>
    <w:rsid w:val="00AB65DC"/>
    <w:rsid w:val="00AB7456"/>
    <w:rsid w:val="00AC3BF2"/>
    <w:rsid w:val="00AC4238"/>
    <w:rsid w:val="00AC4CA6"/>
    <w:rsid w:val="00AC5370"/>
    <w:rsid w:val="00AC5B9D"/>
    <w:rsid w:val="00AC61A2"/>
    <w:rsid w:val="00AC7F45"/>
    <w:rsid w:val="00AC7FCB"/>
    <w:rsid w:val="00AD0496"/>
    <w:rsid w:val="00AD1F7E"/>
    <w:rsid w:val="00AD509B"/>
    <w:rsid w:val="00AD76D4"/>
    <w:rsid w:val="00AE0902"/>
    <w:rsid w:val="00AE09C0"/>
    <w:rsid w:val="00AE0D9A"/>
    <w:rsid w:val="00AF0D18"/>
    <w:rsid w:val="00AF16C0"/>
    <w:rsid w:val="00AF16E7"/>
    <w:rsid w:val="00AF5C53"/>
    <w:rsid w:val="00AF7E15"/>
    <w:rsid w:val="00B00D2C"/>
    <w:rsid w:val="00B00DF1"/>
    <w:rsid w:val="00B01EED"/>
    <w:rsid w:val="00B03F79"/>
    <w:rsid w:val="00B050D1"/>
    <w:rsid w:val="00B054A0"/>
    <w:rsid w:val="00B06CDA"/>
    <w:rsid w:val="00B10094"/>
    <w:rsid w:val="00B10DD3"/>
    <w:rsid w:val="00B13493"/>
    <w:rsid w:val="00B160BC"/>
    <w:rsid w:val="00B1639F"/>
    <w:rsid w:val="00B214AB"/>
    <w:rsid w:val="00B21BC8"/>
    <w:rsid w:val="00B22C76"/>
    <w:rsid w:val="00B2303D"/>
    <w:rsid w:val="00B2380D"/>
    <w:rsid w:val="00B24609"/>
    <w:rsid w:val="00B25115"/>
    <w:rsid w:val="00B252EF"/>
    <w:rsid w:val="00B2582A"/>
    <w:rsid w:val="00B26CE7"/>
    <w:rsid w:val="00B304FB"/>
    <w:rsid w:val="00B31CBB"/>
    <w:rsid w:val="00B3439B"/>
    <w:rsid w:val="00B346A2"/>
    <w:rsid w:val="00B34978"/>
    <w:rsid w:val="00B34DF9"/>
    <w:rsid w:val="00B35DCD"/>
    <w:rsid w:val="00B40FB5"/>
    <w:rsid w:val="00B42332"/>
    <w:rsid w:val="00B42CA7"/>
    <w:rsid w:val="00B431BB"/>
    <w:rsid w:val="00B434DB"/>
    <w:rsid w:val="00B47481"/>
    <w:rsid w:val="00B5096F"/>
    <w:rsid w:val="00B50D90"/>
    <w:rsid w:val="00B51050"/>
    <w:rsid w:val="00B5114F"/>
    <w:rsid w:val="00B52AF6"/>
    <w:rsid w:val="00B52CAE"/>
    <w:rsid w:val="00B55550"/>
    <w:rsid w:val="00B5597A"/>
    <w:rsid w:val="00B56C0F"/>
    <w:rsid w:val="00B57083"/>
    <w:rsid w:val="00B62672"/>
    <w:rsid w:val="00B62C41"/>
    <w:rsid w:val="00B630F7"/>
    <w:rsid w:val="00B641DD"/>
    <w:rsid w:val="00B66091"/>
    <w:rsid w:val="00B66FF9"/>
    <w:rsid w:val="00B6725F"/>
    <w:rsid w:val="00B74312"/>
    <w:rsid w:val="00B81A28"/>
    <w:rsid w:val="00B82192"/>
    <w:rsid w:val="00B843C0"/>
    <w:rsid w:val="00B84755"/>
    <w:rsid w:val="00B850AE"/>
    <w:rsid w:val="00B85441"/>
    <w:rsid w:val="00B85739"/>
    <w:rsid w:val="00B90137"/>
    <w:rsid w:val="00B9139B"/>
    <w:rsid w:val="00B9149C"/>
    <w:rsid w:val="00B92FA0"/>
    <w:rsid w:val="00B93917"/>
    <w:rsid w:val="00B944E7"/>
    <w:rsid w:val="00BA0BBB"/>
    <w:rsid w:val="00BA2D0A"/>
    <w:rsid w:val="00BA39EC"/>
    <w:rsid w:val="00BA4BE8"/>
    <w:rsid w:val="00BA6768"/>
    <w:rsid w:val="00BB1752"/>
    <w:rsid w:val="00BB1F24"/>
    <w:rsid w:val="00BB1FCA"/>
    <w:rsid w:val="00BB4D3A"/>
    <w:rsid w:val="00BB5C03"/>
    <w:rsid w:val="00BB5D9C"/>
    <w:rsid w:val="00BC1F03"/>
    <w:rsid w:val="00BC26B4"/>
    <w:rsid w:val="00BC2754"/>
    <w:rsid w:val="00BC281B"/>
    <w:rsid w:val="00BC2969"/>
    <w:rsid w:val="00BC40AF"/>
    <w:rsid w:val="00BD0E30"/>
    <w:rsid w:val="00BD221B"/>
    <w:rsid w:val="00BD58FE"/>
    <w:rsid w:val="00BD7B64"/>
    <w:rsid w:val="00BE0641"/>
    <w:rsid w:val="00BE0896"/>
    <w:rsid w:val="00BE0BC9"/>
    <w:rsid w:val="00BE0C22"/>
    <w:rsid w:val="00BE1602"/>
    <w:rsid w:val="00BE3216"/>
    <w:rsid w:val="00BE48E2"/>
    <w:rsid w:val="00BE50C8"/>
    <w:rsid w:val="00BE54E2"/>
    <w:rsid w:val="00BE6D20"/>
    <w:rsid w:val="00BE78C3"/>
    <w:rsid w:val="00BF0E88"/>
    <w:rsid w:val="00BF461F"/>
    <w:rsid w:val="00BF5DD8"/>
    <w:rsid w:val="00BF7084"/>
    <w:rsid w:val="00C007C6"/>
    <w:rsid w:val="00C0134B"/>
    <w:rsid w:val="00C041F8"/>
    <w:rsid w:val="00C0507D"/>
    <w:rsid w:val="00C057F8"/>
    <w:rsid w:val="00C0584F"/>
    <w:rsid w:val="00C06B2B"/>
    <w:rsid w:val="00C078FD"/>
    <w:rsid w:val="00C07ACE"/>
    <w:rsid w:val="00C101AE"/>
    <w:rsid w:val="00C11661"/>
    <w:rsid w:val="00C11C52"/>
    <w:rsid w:val="00C13615"/>
    <w:rsid w:val="00C1412F"/>
    <w:rsid w:val="00C14DD5"/>
    <w:rsid w:val="00C15BBD"/>
    <w:rsid w:val="00C16C7C"/>
    <w:rsid w:val="00C172EB"/>
    <w:rsid w:val="00C1767B"/>
    <w:rsid w:val="00C20847"/>
    <w:rsid w:val="00C20A41"/>
    <w:rsid w:val="00C2220D"/>
    <w:rsid w:val="00C22BEC"/>
    <w:rsid w:val="00C23703"/>
    <w:rsid w:val="00C23D57"/>
    <w:rsid w:val="00C260F4"/>
    <w:rsid w:val="00C266AA"/>
    <w:rsid w:val="00C2683D"/>
    <w:rsid w:val="00C27A7D"/>
    <w:rsid w:val="00C3166A"/>
    <w:rsid w:val="00C3629C"/>
    <w:rsid w:val="00C3640C"/>
    <w:rsid w:val="00C3750A"/>
    <w:rsid w:val="00C37A75"/>
    <w:rsid w:val="00C37AEB"/>
    <w:rsid w:val="00C4087F"/>
    <w:rsid w:val="00C43906"/>
    <w:rsid w:val="00C445B6"/>
    <w:rsid w:val="00C44704"/>
    <w:rsid w:val="00C470EC"/>
    <w:rsid w:val="00C500EC"/>
    <w:rsid w:val="00C50427"/>
    <w:rsid w:val="00C52654"/>
    <w:rsid w:val="00C55483"/>
    <w:rsid w:val="00C56079"/>
    <w:rsid w:val="00C567FD"/>
    <w:rsid w:val="00C57698"/>
    <w:rsid w:val="00C609BC"/>
    <w:rsid w:val="00C635F2"/>
    <w:rsid w:val="00C64EB9"/>
    <w:rsid w:val="00C65783"/>
    <w:rsid w:val="00C67030"/>
    <w:rsid w:val="00C67ABC"/>
    <w:rsid w:val="00C72CD7"/>
    <w:rsid w:val="00C72E9E"/>
    <w:rsid w:val="00C734B1"/>
    <w:rsid w:val="00C73939"/>
    <w:rsid w:val="00C73995"/>
    <w:rsid w:val="00C74008"/>
    <w:rsid w:val="00C745FB"/>
    <w:rsid w:val="00C7621F"/>
    <w:rsid w:val="00C7673C"/>
    <w:rsid w:val="00C76EE5"/>
    <w:rsid w:val="00C76F1A"/>
    <w:rsid w:val="00C773A7"/>
    <w:rsid w:val="00C777DA"/>
    <w:rsid w:val="00C80C40"/>
    <w:rsid w:val="00C85DD2"/>
    <w:rsid w:val="00C910C9"/>
    <w:rsid w:val="00C9110E"/>
    <w:rsid w:val="00C93A4E"/>
    <w:rsid w:val="00C94DC0"/>
    <w:rsid w:val="00C955F1"/>
    <w:rsid w:val="00C95930"/>
    <w:rsid w:val="00C966F3"/>
    <w:rsid w:val="00C968FB"/>
    <w:rsid w:val="00C96FD6"/>
    <w:rsid w:val="00C97BF7"/>
    <w:rsid w:val="00CA1253"/>
    <w:rsid w:val="00CA278B"/>
    <w:rsid w:val="00CA2F0B"/>
    <w:rsid w:val="00CA32A4"/>
    <w:rsid w:val="00CA5623"/>
    <w:rsid w:val="00CB0005"/>
    <w:rsid w:val="00CB5489"/>
    <w:rsid w:val="00CB5C9C"/>
    <w:rsid w:val="00CB6891"/>
    <w:rsid w:val="00CB7E8A"/>
    <w:rsid w:val="00CC1429"/>
    <w:rsid w:val="00CC42D2"/>
    <w:rsid w:val="00CC5A42"/>
    <w:rsid w:val="00CC64F4"/>
    <w:rsid w:val="00CC7093"/>
    <w:rsid w:val="00CD1202"/>
    <w:rsid w:val="00CD2E88"/>
    <w:rsid w:val="00CD3F6D"/>
    <w:rsid w:val="00CD61D3"/>
    <w:rsid w:val="00CD73E5"/>
    <w:rsid w:val="00CE26DE"/>
    <w:rsid w:val="00CE2EFB"/>
    <w:rsid w:val="00CE395C"/>
    <w:rsid w:val="00CE494A"/>
    <w:rsid w:val="00CE4C4D"/>
    <w:rsid w:val="00CE61C0"/>
    <w:rsid w:val="00CE6A0D"/>
    <w:rsid w:val="00CE7765"/>
    <w:rsid w:val="00CE7795"/>
    <w:rsid w:val="00CE7C01"/>
    <w:rsid w:val="00CF1631"/>
    <w:rsid w:val="00CF2A99"/>
    <w:rsid w:val="00CF62B0"/>
    <w:rsid w:val="00CF6990"/>
    <w:rsid w:val="00CF6A8B"/>
    <w:rsid w:val="00CF7200"/>
    <w:rsid w:val="00CF79FB"/>
    <w:rsid w:val="00CF7A4F"/>
    <w:rsid w:val="00D02BEE"/>
    <w:rsid w:val="00D02CE8"/>
    <w:rsid w:val="00D02D11"/>
    <w:rsid w:val="00D032BD"/>
    <w:rsid w:val="00D03E74"/>
    <w:rsid w:val="00D04E70"/>
    <w:rsid w:val="00D07E18"/>
    <w:rsid w:val="00D1070B"/>
    <w:rsid w:val="00D10DEB"/>
    <w:rsid w:val="00D11DBA"/>
    <w:rsid w:val="00D124AF"/>
    <w:rsid w:val="00D12C01"/>
    <w:rsid w:val="00D12D81"/>
    <w:rsid w:val="00D131A5"/>
    <w:rsid w:val="00D13F60"/>
    <w:rsid w:val="00D15C87"/>
    <w:rsid w:val="00D165CF"/>
    <w:rsid w:val="00D17CF0"/>
    <w:rsid w:val="00D200BA"/>
    <w:rsid w:val="00D209B8"/>
    <w:rsid w:val="00D21B82"/>
    <w:rsid w:val="00D233AD"/>
    <w:rsid w:val="00D237C6"/>
    <w:rsid w:val="00D25E89"/>
    <w:rsid w:val="00D3051C"/>
    <w:rsid w:val="00D30E6A"/>
    <w:rsid w:val="00D3186C"/>
    <w:rsid w:val="00D31D09"/>
    <w:rsid w:val="00D332E3"/>
    <w:rsid w:val="00D334E9"/>
    <w:rsid w:val="00D3399A"/>
    <w:rsid w:val="00D33B29"/>
    <w:rsid w:val="00D3476B"/>
    <w:rsid w:val="00D34977"/>
    <w:rsid w:val="00D37D38"/>
    <w:rsid w:val="00D4225B"/>
    <w:rsid w:val="00D42B20"/>
    <w:rsid w:val="00D42E43"/>
    <w:rsid w:val="00D443FF"/>
    <w:rsid w:val="00D44E42"/>
    <w:rsid w:val="00D45302"/>
    <w:rsid w:val="00D45330"/>
    <w:rsid w:val="00D45585"/>
    <w:rsid w:val="00D45C3B"/>
    <w:rsid w:val="00D52631"/>
    <w:rsid w:val="00D53A00"/>
    <w:rsid w:val="00D53D79"/>
    <w:rsid w:val="00D55D53"/>
    <w:rsid w:val="00D615B8"/>
    <w:rsid w:val="00D62168"/>
    <w:rsid w:val="00D63941"/>
    <w:rsid w:val="00D6475E"/>
    <w:rsid w:val="00D6709E"/>
    <w:rsid w:val="00D72BF0"/>
    <w:rsid w:val="00D730C0"/>
    <w:rsid w:val="00D74BEB"/>
    <w:rsid w:val="00D76E32"/>
    <w:rsid w:val="00D84D74"/>
    <w:rsid w:val="00D86DE4"/>
    <w:rsid w:val="00D8735B"/>
    <w:rsid w:val="00D87B4C"/>
    <w:rsid w:val="00D9429C"/>
    <w:rsid w:val="00D95A4D"/>
    <w:rsid w:val="00D95A82"/>
    <w:rsid w:val="00D96A88"/>
    <w:rsid w:val="00D974A5"/>
    <w:rsid w:val="00DA1572"/>
    <w:rsid w:val="00DA19F0"/>
    <w:rsid w:val="00DA211A"/>
    <w:rsid w:val="00DB0612"/>
    <w:rsid w:val="00DB1948"/>
    <w:rsid w:val="00DB2541"/>
    <w:rsid w:val="00DB292D"/>
    <w:rsid w:val="00DB2F44"/>
    <w:rsid w:val="00DB45FB"/>
    <w:rsid w:val="00DB531D"/>
    <w:rsid w:val="00DC6474"/>
    <w:rsid w:val="00DC7B22"/>
    <w:rsid w:val="00DC7FAB"/>
    <w:rsid w:val="00DD08F1"/>
    <w:rsid w:val="00DD0A53"/>
    <w:rsid w:val="00DD1B28"/>
    <w:rsid w:val="00DD2C27"/>
    <w:rsid w:val="00DD3657"/>
    <w:rsid w:val="00DD3844"/>
    <w:rsid w:val="00DD3D15"/>
    <w:rsid w:val="00DD4276"/>
    <w:rsid w:val="00DD4625"/>
    <w:rsid w:val="00DD4D46"/>
    <w:rsid w:val="00DD5658"/>
    <w:rsid w:val="00DD7EDD"/>
    <w:rsid w:val="00DD7FBE"/>
    <w:rsid w:val="00DE0EAC"/>
    <w:rsid w:val="00DE4B36"/>
    <w:rsid w:val="00DE6C2E"/>
    <w:rsid w:val="00DE7078"/>
    <w:rsid w:val="00DF0A61"/>
    <w:rsid w:val="00DF46C1"/>
    <w:rsid w:val="00DF4CB4"/>
    <w:rsid w:val="00DF52DD"/>
    <w:rsid w:val="00DF5976"/>
    <w:rsid w:val="00DF7273"/>
    <w:rsid w:val="00DF7830"/>
    <w:rsid w:val="00E01AE5"/>
    <w:rsid w:val="00E0423F"/>
    <w:rsid w:val="00E1272F"/>
    <w:rsid w:val="00E12825"/>
    <w:rsid w:val="00E12CF4"/>
    <w:rsid w:val="00E13887"/>
    <w:rsid w:val="00E148FE"/>
    <w:rsid w:val="00E14B95"/>
    <w:rsid w:val="00E14BC4"/>
    <w:rsid w:val="00E14D38"/>
    <w:rsid w:val="00E16BFF"/>
    <w:rsid w:val="00E17AE9"/>
    <w:rsid w:val="00E20C19"/>
    <w:rsid w:val="00E212D5"/>
    <w:rsid w:val="00E23C2A"/>
    <w:rsid w:val="00E23D36"/>
    <w:rsid w:val="00E2540A"/>
    <w:rsid w:val="00E266A0"/>
    <w:rsid w:val="00E271EA"/>
    <w:rsid w:val="00E27C26"/>
    <w:rsid w:val="00E32845"/>
    <w:rsid w:val="00E3313C"/>
    <w:rsid w:val="00E33D6C"/>
    <w:rsid w:val="00E34A01"/>
    <w:rsid w:val="00E37065"/>
    <w:rsid w:val="00E37406"/>
    <w:rsid w:val="00E37570"/>
    <w:rsid w:val="00E40B0F"/>
    <w:rsid w:val="00E43089"/>
    <w:rsid w:val="00E45354"/>
    <w:rsid w:val="00E45CC6"/>
    <w:rsid w:val="00E45EA0"/>
    <w:rsid w:val="00E47784"/>
    <w:rsid w:val="00E479AD"/>
    <w:rsid w:val="00E47EF5"/>
    <w:rsid w:val="00E50F7B"/>
    <w:rsid w:val="00E52C1F"/>
    <w:rsid w:val="00E5410D"/>
    <w:rsid w:val="00E542A4"/>
    <w:rsid w:val="00E5465C"/>
    <w:rsid w:val="00E547B7"/>
    <w:rsid w:val="00E55196"/>
    <w:rsid w:val="00E55A1F"/>
    <w:rsid w:val="00E56B32"/>
    <w:rsid w:val="00E6128F"/>
    <w:rsid w:val="00E618FC"/>
    <w:rsid w:val="00E64B74"/>
    <w:rsid w:val="00E65095"/>
    <w:rsid w:val="00E66EA5"/>
    <w:rsid w:val="00E676FC"/>
    <w:rsid w:val="00E714DE"/>
    <w:rsid w:val="00E76147"/>
    <w:rsid w:val="00E77CC6"/>
    <w:rsid w:val="00E812ED"/>
    <w:rsid w:val="00E85B7C"/>
    <w:rsid w:val="00E877D5"/>
    <w:rsid w:val="00E90B11"/>
    <w:rsid w:val="00E91A0B"/>
    <w:rsid w:val="00E92F09"/>
    <w:rsid w:val="00E9459E"/>
    <w:rsid w:val="00E964E2"/>
    <w:rsid w:val="00E96A5D"/>
    <w:rsid w:val="00EA0280"/>
    <w:rsid w:val="00EA0C35"/>
    <w:rsid w:val="00EA151F"/>
    <w:rsid w:val="00EA1D6E"/>
    <w:rsid w:val="00EA3829"/>
    <w:rsid w:val="00EA3DDE"/>
    <w:rsid w:val="00EA3FA9"/>
    <w:rsid w:val="00EA48EA"/>
    <w:rsid w:val="00EA5ABA"/>
    <w:rsid w:val="00EA6023"/>
    <w:rsid w:val="00EA6E1B"/>
    <w:rsid w:val="00EB0285"/>
    <w:rsid w:val="00EB04CC"/>
    <w:rsid w:val="00EB1A10"/>
    <w:rsid w:val="00EB51FB"/>
    <w:rsid w:val="00EB5CF3"/>
    <w:rsid w:val="00EB69E4"/>
    <w:rsid w:val="00EC0B70"/>
    <w:rsid w:val="00EC1216"/>
    <w:rsid w:val="00EC3C20"/>
    <w:rsid w:val="00EC48A6"/>
    <w:rsid w:val="00EC4945"/>
    <w:rsid w:val="00ED0EBF"/>
    <w:rsid w:val="00ED2565"/>
    <w:rsid w:val="00ED43B4"/>
    <w:rsid w:val="00ED73AB"/>
    <w:rsid w:val="00EE0660"/>
    <w:rsid w:val="00EE0736"/>
    <w:rsid w:val="00EE0D68"/>
    <w:rsid w:val="00EE1486"/>
    <w:rsid w:val="00EE1C59"/>
    <w:rsid w:val="00EE2B00"/>
    <w:rsid w:val="00EE607C"/>
    <w:rsid w:val="00EE6515"/>
    <w:rsid w:val="00EE7A5F"/>
    <w:rsid w:val="00EF0269"/>
    <w:rsid w:val="00EF07A5"/>
    <w:rsid w:val="00EF2E85"/>
    <w:rsid w:val="00EF35EA"/>
    <w:rsid w:val="00EF3CBF"/>
    <w:rsid w:val="00EF3F06"/>
    <w:rsid w:val="00EF55DD"/>
    <w:rsid w:val="00EF581D"/>
    <w:rsid w:val="00EF58EE"/>
    <w:rsid w:val="00EF66AB"/>
    <w:rsid w:val="00EF6CE5"/>
    <w:rsid w:val="00EF73AC"/>
    <w:rsid w:val="00EF742A"/>
    <w:rsid w:val="00F00CE3"/>
    <w:rsid w:val="00F01EA6"/>
    <w:rsid w:val="00F02312"/>
    <w:rsid w:val="00F025C3"/>
    <w:rsid w:val="00F02D1E"/>
    <w:rsid w:val="00F03697"/>
    <w:rsid w:val="00F03FA5"/>
    <w:rsid w:val="00F047AE"/>
    <w:rsid w:val="00F062CA"/>
    <w:rsid w:val="00F10C0F"/>
    <w:rsid w:val="00F11F61"/>
    <w:rsid w:val="00F1288E"/>
    <w:rsid w:val="00F1463D"/>
    <w:rsid w:val="00F1504F"/>
    <w:rsid w:val="00F16258"/>
    <w:rsid w:val="00F169D4"/>
    <w:rsid w:val="00F17413"/>
    <w:rsid w:val="00F20250"/>
    <w:rsid w:val="00F20C2F"/>
    <w:rsid w:val="00F230FE"/>
    <w:rsid w:val="00F2437B"/>
    <w:rsid w:val="00F2444D"/>
    <w:rsid w:val="00F25CF5"/>
    <w:rsid w:val="00F26C72"/>
    <w:rsid w:val="00F27B39"/>
    <w:rsid w:val="00F31F33"/>
    <w:rsid w:val="00F322BA"/>
    <w:rsid w:val="00F324C8"/>
    <w:rsid w:val="00F32D88"/>
    <w:rsid w:val="00F331B5"/>
    <w:rsid w:val="00F33EEF"/>
    <w:rsid w:val="00F37A3F"/>
    <w:rsid w:val="00F4439C"/>
    <w:rsid w:val="00F4587B"/>
    <w:rsid w:val="00F46683"/>
    <w:rsid w:val="00F46C16"/>
    <w:rsid w:val="00F4724F"/>
    <w:rsid w:val="00F47486"/>
    <w:rsid w:val="00F50365"/>
    <w:rsid w:val="00F54333"/>
    <w:rsid w:val="00F5534D"/>
    <w:rsid w:val="00F5539B"/>
    <w:rsid w:val="00F55DB9"/>
    <w:rsid w:val="00F566FF"/>
    <w:rsid w:val="00F569EE"/>
    <w:rsid w:val="00F60904"/>
    <w:rsid w:val="00F60E54"/>
    <w:rsid w:val="00F61041"/>
    <w:rsid w:val="00F61087"/>
    <w:rsid w:val="00F62E21"/>
    <w:rsid w:val="00F63F70"/>
    <w:rsid w:val="00F67522"/>
    <w:rsid w:val="00F67A03"/>
    <w:rsid w:val="00F7036F"/>
    <w:rsid w:val="00F70773"/>
    <w:rsid w:val="00F70A69"/>
    <w:rsid w:val="00F70BAA"/>
    <w:rsid w:val="00F71D73"/>
    <w:rsid w:val="00F7239E"/>
    <w:rsid w:val="00F727A8"/>
    <w:rsid w:val="00F736DC"/>
    <w:rsid w:val="00F75246"/>
    <w:rsid w:val="00F760BB"/>
    <w:rsid w:val="00F773CD"/>
    <w:rsid w:val="00F80A56"/>
    <w:rsid w:val="00F8200B"/>
    <w:rsid w:val="00F82FE7"/>
    <w:rsid w:val="00F8324B"/>
    <w:rsid w:val="00F842CB"/>
    <w:rsid w:val="00F860B7"/>
    <w:rsid w:val="00F87385"/>
    <w:rsid w:val="00F92F8E"/>
    <w:rsid w:val="00F93E2B"/>
    <w:rsid w:val="00F94867"/>
    <w:rsid w:val="00F955D7"/>
    <w:rsid w:val="00F9612F"/>
    <w:rsid w:val="00F96B68"/>
    <w:rsid w:val="00F96D9F"/>
    <w:rsid w:val="00F96E89"/>
    <w:rsid w:val="00FA398A"/>
    <w:rsid w:val="00FA4755"/>
    <w:rsid w:val="00FA5622"/>
    <w:rsid w:val="00FA64EE"/>
    <w:rsid w:val="00FB0FA2"/>
    <w:rsid w:val="00FB1706"/>
    <w:rsid w:val="00FB2209"/>
    <w:rsid w:val="00FB234D"/>
    <w:rsid w:val="00FB24C4"/>
    <w:rsid w:val="00FB4B9A"/>
    <w:rsid w:val="00FB600B"/>
    <w:rsid w:val="00FB62B1"/>
    <w:rsid w:val="00FB72C9"/>
    <w:rsid w:val="00FC0B17"/>
    <w:rsid w:val="00FC1BE1"/>
    <w:rsid w:val="00FC2EB0"/>
    <w:rsid w:val="00FC44B5"/>
    <w:rsid w:val="00FC5CDB"/>
    <w:rsid w:val="00FC7641"/>
    <w:rsid w:val="00FD112B"/>
    <w:rsid w:val="00FD117B"/>
    <w:rsid w:val="00FD2E70"/>
    <w:rsid w:val="00FD4A9E"/>
    <w:rsid w:val="00FD4CC7"/>
    <w:rsid w:val="00FD4CE7"/>
    <w:rsid w:val="00FD76B3"/>
    <w:rsid w:val="00FD7789"/>
    <w:rsid w:val="00FD79A2"/>
    <w:rsid w:val="00FE17BF"/>
    <w:rsid w:val="00FE206D"/>
    <w:rsid w:val="00FE2537"/>
    <w:rsid w:val="00FE31DD"/>
    <w:rsid w:val="00FE5265"/>
    <w:rsid w:val="00FE54F6"/>
    <w:rsid w:val="00FE5A20"/>
    <w:rsid w:val="00FE5DF7"/>
    <w:rsid w:val="00FE6B17"/>
    <w:rsid w:val="00FE74C9"/>
    <w:rsid w:val="00FF353E"/>
    <w:rsid w:val="00FF595F"/>
    <w:rsid w:val="00FF7365"/>
    <w:rsid w:val="00FF7889"/>
    <w:rsid w:val="00FF79E9"/>
    <w:rsid w:val="0220637B"/>
    <w:rsid w:val="03C14F64"/>
    <w:rsid w:val="04C77EEA"/>
    <w:rsid w:val="06457492"/>
    <w:rsid w:val="08B92A6F"/>
    <w:rsid w:val="093F437B"/>
    <w:rsid w:val="098B0432"/>
    <w:rsid w:val="09F3300D"/>
    <w:rsid w:val="0AD03394"/>
    <w:rsid w:val="0D774F56"/>
    <w:rsid w:val="0DAD6BC9"/>
    <w:rsid w:val="0EB33360"/>
    <w:rsid w:val="11290611"/>
    <w:rsid w:val="12B31375"/>
    <w:rsid w:val="13351B5D"/>
    <w:rsid w:val="13806B2E"/>
    <w:rsid w:val="170F3DE2"/>
    <w:rsid w:val="17932629"/>
    <w:rsid w:val="17CD1F8C"/>
    <w:rsid w:val="19EA56EB"/>
    <w:rsid w:val="1C456684"/>
    <w:rsid w:val="1E0F22F0"/>
    <w:rsid w:val="1F557BCB"/>
    <w:rsid w:val="1FD9796E"/>
    <w:rsid w:val="20653333"/>
    <w:rsid w:val="20AA3AE7"/>
    <w:rsid w:val="21863561"/>
    <w:rsid w:val="22C2512A"/>
    <w:rsid w:val="2346345A"/>
    <w:rsid w:val="23D902C0"/>
    <w:rsid w:val="242F40E9"/>
    <w:rsid w:val="247D50F0"/>
    <w:rsid w:val="25407E8D"/>
    <w:rsid w:val="25B05051"/>
    <w:rsid w:val="266C2254"/>
    <w:rsid w:val="26AB2230"/>
    <w:rsid w:val="26F42130"/>
    <w:rsid w:val="27281A22"/>
    <w:rsid w:val="28D9779E"/>
    <w:rsid w:val="29150B2A"/>
    <w:rsid w:val="2B26087C"/>
    <w:rsid w:val="2C421401"/>
    <w:rsid w:val="2CC2123A"/>
    <w:rsid w:val="2CDC6B10"/>
    <w:rsid w:val="2CEE645F"/>
    <w:rsid w:val="31506FF8"/>
    <w:rsid w:val="32403A6A"/>
    <w:rsid w:val="33AE3F4D"/>
    <w:rsid w:val="36014987"/>
    <w:rsid w:val="385555E4"/>
    <w:rsid w:val="389917D6"/>
    <w:rsid w:val="38DE41AA"/>
    <w:rsid w:val="3AA12E5D"/>
    <w:rsid w:val="3B0A4A34"/>
    <w:rsid w:val="3C4C2016"/>
    <w:rsid w:val="3D2E4D81"/>
    <w:rsid w:val="3ECB31F5"/>
    <w:rsid w:val="41014CCC"/>
    <w:rsid w:val="41D028AB"/>
    <w:rsid w:val="4284567C"/>
    <w:rsid w:val="44862797"/>
    <w:rsid w:val="462E7BA0"/>
    <w:rsid w:val="47451645"/>
    <w:rsid w:val="477E4793"/>
    <w:rsid w:val="47B123E4"/>
    <w:rsid w:val="48753D5B"/>
    <w:rsid w:val="48AC74A2"/>
    <w:rsid w:val="49064E04"/>
    <w:rsid w:val="49A93874"/>
    <w:rsid w:val="4A9103D1"/>
    <w:rsid w:val="4B123E8B"/>
    <w:rsid w:val="4CB00209"/>
    <w:rsid w:val="4CBF1552"/>
    <w:rsid w:val="4D436BE0"/>
    <w:rsid w:val="4D926C66"/>
    <w:rsid w:val="4F524D86"/>
    <w:rsid w:val="4F5368C9"/>
    <w:rsid w:val="53712B0E"/>
    <w:rsid w:val="53D441FF"/>
    <w:rsid w:val="5837493C"/>
    <w:rsid w:val="584274DB"/>
    <w:rsid w:val="59617EBD"/>
    <w:rsid w:val="5AAE046B"/>
    <w:rsid w:val="5B2D2706"/>
    <w:rsid w:val="5BB90088"/>
    <w:rsid w:val="5C8A4633"/>
    <w:rsid w:val="5D4B5325"/>
    <w:rsid w:val="5D973E25"/>
    <w:rsid w:val="5E2F6632"/>
    <w:rsid w:val="5ED2780B"/>
    <w:rsid w:val="611D2893"/>
    <w:rsid w:val="615C160D"/>
    <w:rsid w:val="61B16BBE"/>
    <w:rsid w:val="623A1223"/>
    <w:rsid w:val="62C92CD3"/>
    <w:rsid w:val="69EB1780"/>
    <w:rsid w:val="6A1560CB"/>
    <w:rsid w:val="6AA97D60"/>
    <w:rsid w:val="6DDE554C"/>
    <w:rsid w:val="6EAB14DE"/>
    <w:rsid w:val="6F622242"/>
    <w:rsid w:val="721C3BF6"/>
    <w:rsid w:val="730B69EF"/>
    <w:rsid w:val="760140DA"/>
    <w:rsid w:val="773D4AD6"/>
    <w:rsid w:val="78A060B4"/>
    <w:rsid w:val="7A521C77"/>
    <w:rsid w:val="7A753BB3"/>
    <w:rsid w:val="7B3B7D0B"/>
    <w:rsid w:val="7C6F4493"/>
    <w:rsid w:val="7CCD4D16"/>
    <w:rsid w:val="7CEC56E3"/>
    <w:rsid w:val="7D172105"/>
    <w:rsid w:val="7D501D25"/>
    <w:rsid w:val="7D6A026E"/>
    <w:rsid w:val="7D8062A1"/>
    <w:rsid w:val="7F160BF6"/>
    <w:rsid w:val="7FFD5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9"/>
    <w:pPr>
      <w:keepNext/>
      <w:keepLines/>
      <w:adjustRightInd w:val="0"/>
      <w:snapToGrid w:val="0"/>
      <w:spacing w:line="560" w:lineRule="exact"/>
      <w:ind w:firstLine="200" w:firstLineChars="200"/>
      <w:jc w:val="left"/>
      <w:outlineLvl w:val="0"/>
    </w:pPr>
    <w:rPr>
      <w:rFonts w:ascii="黑体" w:hAnsi="黑体" w:eastAsia="黑体"/>
      <w:bCs/>
      <w:kern w:val="44"/>
      <w:sz w:val="32"/>
      <w:szCs w:val="44"/>
    </w:rPr>
  </w:style>
  <w:style w:type="paragraph" w:styleId="3">
    <w:name w:val="heading 2"/>
    <w:basedOn w:val="1"/>
    <w:next w:val="1"/>
    <w:link w:val="38"/>
    <w:unhideWhenUsed/>
    <w:qFormat/>
    <w:uiPriority w:val="9"/>
    <w:pPr>
      <w:keepNext/>
      <w:keepLines/>
      <w:adjustRightInd w:val="0"/>
      <w:snapToGrid w:val="0"/>
      <w:spacing w:line="560" w:lineRule="exact"/>
      <w:ind w:firstLine="200" w:firstLineChars="200"/>
      <w:jc w:val="left"/>
      <w:outlineLvl w:val="1"/>
    </w:pPr>
    <w:rPr>
      <w:rFonts w:ascii="楷体" w:hAnsi="楷体" w:eastAsia="楷体_GB2312" w:cstheme="majorBidi"/>
      <w:bCs/>
      <w:sz w:val="32"/>
      <w:szCs w:val="32"/>
    </w:rPr>
  </w:style>
  <w:style w:type="paragraph" w:styleId="4">
    <w:name w:val="heading 3"/>
    <w:basedOn w:val="1"/>
    <w:next w:val="1"/>
    <w:link w:val="36"/>
    <w:unhideWhenUsed/>
    <w:qFormat/>
    <w:uiPriority w:val="9"/>
    <w:pPr>
      <w:keepNext/>
      <w:keepLines/>
      <w:adjustRightInd w:val="0"/>
      <w:snapToGrid w:val="0"/>
      <w:spacing w:line="560" w:lineRule="atLeast"/>
      <w:ind w:firstLine="200" w:firstLineChars="200"/>
      <w:outlineLvl w:val="2"/>
    </w:pPr>
    <w:rPr>
      <w:rFonts w:ascii="仿宋_GB2312" w:hAnsi="仿宋_GB2312" w:eastAsia="仿宋_GB2312"/>
      <w:b/>
      <w:bCs/>
      <w:sz w:val="32"/>
      <w:szCs w:val="32"/>
    </w:rPr>
  </w:style>
  <w:style w:type="paragraph" w:styleId="5">
    <w:name w:val="heading 4"/>
    <w:basedOn w:val="1"/>
    <w:next w:val="1"/>
    <w:link w:val="37"/>
    <w:unhideWhenUsed/>
    <w:qFormat/>
    <w:uiPriority w:val="9"/>
    <w:pPr>
      <w:keepNext/>
      <w:keepLines/>
      <w:adjustRightInd w:val="0"/>
      <w:snapToGrid w:val="0"/>
      <w:spacing w:line="560" w:lineRule="exact"/>
      <w:ind w:firstLine="200" w:firstLineChars="200"/>
      <w:outlineLvl w:val="3"/>
    </w:pPr>
    <w:rPr>
      <w:rFonts w:ascii="仿宋_GB2312" w:hAnsi="仿宋_GB2312" w:eastAsia="仿宋_GB2312" w:cstheme="majorBidi"/>
      <w:bCs/>
      <w:sz w:val="32"/>
      <w:szCs w:val="28"/>
    </w:rPr>
  </w:style>
  <w:style w:type="character" w:default="1" w:styleId="22">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7"/>
    <w:semiHidden/>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Balloon Text"/>
    <w:basedOn w:val="1"/>
    <w:link w:val="26"/>
    <w:semiHidden/>
    <w:unhideWhenUsed/>
    <w:qFormat/>
    <w:uiPriority w:val="99"/>
    <w:rPr>
      <w:sz w:val="18"/>
      <w:szCs w:val="18"/>
    </w:rPr>
  </w:style>
  <w:style w:type="paragraph" w:styleId="9">
    <w:name w:val="footer"/>
    <w:basedOn w:val="1"/>
    <w:link w:val="34"/>
    <w:unhideWhenUsed/>
    <w:qFormat/>
    <w:uiPriority w:val="99"/>
    <w:pPr>
      <w:tabs>
        <w:tab w:val="center" w:pos="4153"/>
        <w:tab w:val="right" w:pos="8306"/>
      </w:tabs>
      <w:adjustRightInd w:val="0"/>
      <w:snapToGrid w:val="0"/>
      <w:spacing w:line="240" w:lineRule="atLeast"/>
      <w:ind w:firstLine="200" w:firstLineChars="200"/>
      <w:jc w:val="left"/>
    </w:pPr>
    <w:rPr>
      <w:rFonts w:ascii="Times New Roman" w:hAnsi="Times New Roman" w:eastAsia="仿宋_GB2312"/>
      <w:sz w:val="18"/>
      <w:szCs w:val="18"/>
    </w:rPr>
  </w:style>
  <w:style w:type="paragraph" w:styleId="10">
    <w:name w:val="header"/>
    <w:basedOn w:val="1"/>
    <w:link w:val="33"/>
    <w:unhideWhenUsed/>
    <w:qFormat/>
    <w:uiPriority w:val="99"/>
    <w:pPr>
      <w:pBdr>
        <w:bottom w:val="single" w:color="auto" w:sz="6" w:space="1"/>
      </w:pBdr>
      <w:tabs>
        <w:tab w:val="center" w:pos="4153"/>
        <w:tab w:val="right" w:pos="8306"/>
      </w:tabs>
      <w:adjustRightInd w:val="0"/>
      <w:snapToGrid w:val="0"/>
      <w:spacing w:line="240" w:lineRule="atLeast"/>
      <w:ind w:firstLine="200" w:firstLineChars="200"/>
      <w:jc w:val="center"/>
    </w:pPr>
    <w:rPr>
      <w:rFonts w:ascii="Times New Roman" w:hAnsi="Times New Roman" w:eastAsia="仿宋_GB2312"/>
      <w:sz w:val="18"/>
      <w:szCs w:val="18"/>
    </w:rPr>
  </w:style>
  <w:style w:type="paragraph" w:styleId="11">
    <w:name w:val="toc 1"/>
    <w:basedOn w:val="1"/>
    <w:next w:val="1"/>
    <w:unhideWhenUsed/>
    <w:qFormat/>
    <w:uiPriority w:val="39"/>
    <w:pPr>
      <w:tabs>
        <w:tab w:val="right" w:leader="dot" w:pos="8296"/>
      </w:tabs>
    </w:pPr>
    <w:rPr>
      <w:rFonts w:ascii="Times New Roman" w:hAnsi="Times New Roman" w:eastAsia="仿宋_GB2312" w:cs="Times New Roman"/>
      <w:b/>
      <w:sz w:val="28"/>
      <w:szCs w:val="28"/>
    </w:rPr>
  </w:style>
  <w:style w:type="paragraph" w:styleId="12">
    <w:name w:val="Subtitle"/>
    <w:basedOn w:val="1"/>
    <w:next w:val="1"/>
    <w:link w:val="32"/>
    <w:qFormat/>
    <w:uiPriority w:val="11"/>
    <w:pPr>
      <w:spacing w:before="240" w:after="60" w:line="312" w:lineRule="auto"/>
      <w:jc w:val="left"/>
      <w:outlineLvl w:val="1"/>
    </w:pPr>
    <w:rPr>
      <w:rFonts w:eastAsia="宋体" w:asciiTheme="majorHAnsi" w:hAnsiTheme="majorHAnsi" w:cstheme="majorBidi"/>
      <w:b/>
      <w:bCs/>
      <w:kern w:val="28"/>
      <w:sz w:val="32"/>
      <w:szCs w:val="32"/>
    </w:rPr>
  </w:style>
  <w:style w:type="paragraph" w:styleId="13">
    <w:name w:val="footnote text"/>
    <w:basedOn w:val="1"/>
    <w:link w:val="40"/>
    <w:semiHidden/>
    <w:unhideWhenUsed/>
    <w:qFormat/>
    <w:uiPriority w:val="99"/>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rPr>
      <w:rFonts w:ascii="Times New Roman" w:hAnsi="Times New Roman" w:eastAsia="仿宋_GB2312" w:cs="Times New Roman"/>
      <w:sz w:val="28"/>
      <w:szCs w:val="28"/>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31"/>
    <w:qFormat/>
    <w:uiPriority w:val="10"/>
    <w:pPr>
      <w:spacing w:before="240" w:after="60"/>
      <w:jc w:val="center"/>
      <w:outlineLvl w:val="0"/>
    </w:pPr>
    <w:rPr>
      <w:rFonts w:eastAsia="宋体" w:asciiTheme="majorHAnsi" w:hAnsiTheme="majorHAnsi" w:cstheme="majorBidi"/>
      <w:b/>
      <w:bCs/>
      <w:sz w:val="32"/>
      <w:szCs w:val="32"/>
    </w:rPr>
  </w:style>
  <w:style w:type="paragraph" w:styleId="17">
    <w:name w:val="annotation subject"/>
    <w:basedOn w:val="6"/>
    <w:next w:val="6"/>
    <w:link w:val="28"/>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Light Shading"/>
    <w:basedOn w:val="18"/>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21">
    <w:name w:val="Light Shading Accent 4"/>
    <w:basedOn w:val="18"/>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annotation reference"/>
    <w:basedOn w:val="22"/>
    <w:semiHidden/>
    <w:unhideWhenUsed/>
    <w:qFormat/>
    <w:uiPriority w:val="99"/>
    <w:rPr>
      <w:sz w:val="21"/>
      <w:szCs w:val="21"/>
    </w:rPr>
  </w:style>
  <w:style w:type="character" w:styleId="25">
    <w:name w:val="footnote reference"/>
    <w:basedOn w:val="22"/>
    <w:semiHidden/>
    <w:unhideWhenUsed/>
    <w:qFormat/>
    <w:uiPriority w:val="99"/>
    <w:rPr>
      <w:vertAlign w:val="superscript"/>
    </w:rPr>
  </w:style>
  <w:style w:type="character" w:customStyle="1" w:styleId="26">
    <w:name w:val="批注框文本 字符"/>
    <w:basedOn w:val="22"/>
    <w:link w:val="8"/>
    <w:semiHidden/>
    <w:qFormat/>
    <w:uiPriority w:val="99"/>
    <w:rPr>
      <w:sz w:val="18"/>
      <w:szCs w:val="18"/>
    </w:rPr>
  </w:style>
  <w:style w:type="character" w:customStyle="1" w:styleId="27">
    <w:name w:val="批注文字 字符"/>
    <w:basedOn w:val="22"/>
    <w:link w:val="6"/>
    <w:semiHidden/>
    <w:qFormat/>
    <w:uiPriority w:val="99"/>
  </w:style>
  <w:style w:type="character" w:customStyle="1" w:styleId="28">
    <w:name w:val="批注主题 字符"/>
    <w:basedOn w:val="27"/>
    <w:link w:val="17"/>
    <w:semiHidden/>
    <w:qFormat/>
    <w:uiPriority w:val="99"/>
    <w:rPr>
      <w:b/>
      <w:bCs/>
    </w:rPr>
  </w:style>
  <w:style w:type="table" w:customStyle="1" w:styleId="29">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不明显参考1"/>
    <w:qFormat/>
    <w:uiPriority w:val="31"/>
    <w:rPr>
      <w:sz w:val="21"/>
    </w:rPr>
  </w:style>
  <w:style w:type="character" w:customStyle="1" w:styleId="31">
    <w:name w:val="标题 字符"/>
    <w:basedOn w:val="22"/>
    <w:link w:val="16"/>
    <w:qFormat/>
    <w:uiPriority w:val="10"/>
    <w:rPr>
      <w:rFonts w:eastAsia="宋体" w:asciiTheme="majorHAnsi" w:hAnsiTheme="majorHAnsi" w:cstheme="majorBidi"/>
      <w:b/>
      <w:bCs/>
      <w:sz w:val="32"/>
      <w:szCs w:val="32"/>
    </w:rPr>
  </w:style>
  <w:style w:type="character" w:customStyle="1" w:styleId="32">
    <w:name w:val="副标题 字符"/>
    <w:basedOn w:val="22"/>
    <w:link w:val="12"/>
    <w:qFormat/>
    <w:uiPriority w:val="11"/>
    <w:rPr>
      <w:rFonts w:eastAsia="宋体" w:asciiTheme="majorHAnsi" w:hAnsiTheme="majorHAnsi" w:cstheme="majorBidi"/>
      <w:b/>
      <w:bCs/>
      <w:kern w:val="28"/>
      <w:sz w:val="32"/>
      <w:szCs w:val="32"/>
    </w:rPr>
  </w:style>
  <w:style w:type="character" w:customStyle="1" w:styleId="33">
    <w:name w:val="页眉 字符"/>
    <w:basedOn w:val="22"/>
    <w:link w:val="10"/>
    <w:qFormat/>
    <w:uiPriority w:val="99"/>
    <w:rPr>
      <w:rFonts w:ascii="Times New Roman" w:hAnsi="Times New Roman" w:eastAsia="仿宋_GB2312"/>
      <w:sz w:val="18"/>
      <w:szCs w:val="18"/>
    </w:rPr>
  </w:style>
  <w:style w:type="character" w:customStyle="1" w:styleId="34">
    <w:name w:val="页脚 字符"/>
    <w:basedOn w:val="22"/>
    <w:link w:val="9"/>
    <w:qFormat/>
    <w:uiPriority w:val="99"/>
    <w:rPr>
      <w:rFonts w:ascii="Times New Roman" w:hAnsi="Times New Roman" w:eastAsia="仿宋_GB2312"/>
      <w:sz w:val="18"/>
      <w:szCs w:val="18"/>
    </w:rPr>
  </w:style>
  <w:style w:type="paragraph" w:styleId="35">
    <w:name w:val="List Paragraph"/>
    <w:basedOn w:val="1"/>
    <w:qFormat/>
    <w:uiPriority w:val="34"/>
    <w:pPr>
      <w:ind w:firstLine="420" w:firstLineChars="200"/>
    </w:pPr>
  </w:style>
  <w:style w:type="character" w:customStyle="1" w:styleId="36">
    <w:name w:val="标题 3 字符"/>
    <w:basedOn w:val="22"/>
    <w:link w:val="4"/>
    <w:qFormat/>
    <w:uiPriority w:val="9"/>
    <w:rPr>
      <w:rFonts w:ascii="仿宋_GB2312" w:hAnsi="仿宋_GB2312" w:eastAsia="仿宋_GB2312"/>
      <w:b/>
      <w:bCs/>
      <w:kern w:val="2"/>
      <w:sz w:val="32"/>
      <w:szCs w:val="32"/>
    </w:rPr>
  </w:style>
  <w:style w:type="character" w:customStyle="1" w:styleId="37">
    <w:name w:val="标题 4 字符"/>
    <w:basedOn w:val="22"/>
    <w:link w:val="5"/>
    <w:qFormat/>
    <w:uiPriority w:val="9"/>
    <w:rPr>
      <w:rFonts w:ascii="仿宋_GB2312" w:hAnsi="仿宋_GB2312" w:eastAsia="仿宋_GB2312" w:cstheme="majorBidi"/>
      <w:bCs/>
      <w:kern w:val="2"/>
      <w:sz w:val="32"/>
      <w:szCs w:val="28"/>
    </w:rPr>
  </w:style>
  <w:style w:type="character" w:customStyle="1" w:styleId="38">
    <w:name w:val="标题 2 字符"/>
    <w:basedOn w:val="22"/>
    <w:link w:val="3"/>
    <w:qFormat/>
    <w:uiPriority w:val="9"/>
    <w:rPr>
      <w:rFonts w:ascii="楷体" w:hAnsi="楷体" w:eastAsia="楷体_GB2312" w:cstheme="majorBidi"/>
      <w:bCs/>
      <w:kern w:val="2"/>
      <w:sz w:val="32"/>
      <w:szCs w:val="32"/>
    </w:rPr>
  </w:style>
  <w:style w:type="character" w:customStyle="1" w:styleId="39">
    <w:name w:val="标题 1 字符"/>
    <w:basedOn w:val="22"/>
    <w:link w:val="2"/>
    <w:qFormat/>
    <w:uiPriority w:val="9"/>
    <w:rPr>
      <w:rFonts w:ascii="黑体" w:hAnsi="黑体" w:eastAsia="黑体"/>
      <w:bCs/>
      <w:kern w:val="44"/>
      <w:sz w:val="32"/>
      <w:szCs w:val="44"/>
    </w:rPr>
  </w:style>
  <w:style w:type="character" w:customStyle="1" w:styleId="40">
    <w:name w:val="脚注文本 字符"/>
    <w:basedOn w:val="22"/>
    <w:link w:val="13"/>
    <w:semiHidden/>
    <w:qFormat/>
    <w:uiPriority w:val="99"/>
    <w:rPr>
      <w:sz w:val="18"/>
      <w:szCs w:val="18"/>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2">
    <w:name w:val="仿宋"/>
    <w:basedOn w:val="1"/>
    <w:link w:val="43"/>
    <w:qFormat/>
    <w:uiPriority w:val="0"/>
    <w:pPr>
      <w:adjustRightInd w:val="0"/>
      <w:snapToGrid w:val="0"/>
      <w:spacing w:line="560" w:lineRule="exact"/>
      <w:jc w:val="center"/>
    </w:pPr>
    <w:rPr>
      <w:rFonts w:ascii="Times New Roman" w:hAnsi="Times New Roman" w:eastAsia="仿宋_GB2312" w:cs="Times New Roman"/>
      <w:b/>
      <w:bCs/>
      <w:color w:val="101010"/>
      <w:kern w:val="0"/>
      <w:sz w:val="36"/>
      <w:szCs w:val="36"/>
    </w:rPr>
  </w:style>
  <w:style w:type="character" w:customStyle="1" w:styleId="43">
    <w:name w:val="仿宋 Char"/>
    <w:basedOn w:val="22"/>
    <w:link w:val="42"/>
    <w:qFormat/>
    <w:uiPriority w:val="0"/>
    <w:rPr>
      <w:rFonts w:ascii="Times New Roman" w:hAnsi="Times New Roman" w:eastAsia="仿宋_GB2312" w:cs="Times New Roman"/>
      <w:b/>
      <w:bCs/>
      <w:color w:val="101010"/>
      <w:sz w:val="36"/>
      <w:szCs w:val="36"/>
    </w:rPr>
  </w:style>
  <w:style w:type="paragraph" w:customStyle="1" w:styleId="44">
    <w:name w:val="仿宋GB2312"/>
    <w:basedOn w:val="1"/>
    <w:link w:val="45"/>
    <w:qFormat/>
    <w:uiPriority w:val="0"/>
    <w:pPr>
      <w:spacing w:line="560" w:lineRule="exact"/>
      <w:ind w:firstLine="200" w:firstLineChars="200"/>
    </w:pPr>
    <w:rPr>
      <w:rFonts w:ascii="仿宋_GB2312" w:hAnsi="Times New Roman" w:eastAsia="仿宋_GB2312"/>
      <w:sz w:val="32"/>
      <w:szCs w:val="32"/>
    </w:rPr>
  </w:style>
  <w:style w:type="character" w:customStyle="1" w:styleId="45">
    <w:name w:val="仿宋GB2312 字符"/>
    <w:basedOn w:val="22"/>
    <w:link w:val="44"/>
    <w:qFormat/>
    <w:uiPriority w:val="0"/>
    <w:rPr>
      <w:rFonts w:ascii="仿宋_GB2312" w:hAnsi="Times New Roman" w:eastAsia="仿宋_GB2312"/>
      <w:kern w:val="2"/>
      <w:sz w:val="32"/>
      <w:szCs w:val="32"/>
    </w:rPr>
  </w:style>
  <w:style w:type="paragraph" w:customStyle="1" w:styleId="46">
    <w:name w:val="脚注"/>
    <w:basedOn w:val="13"/>
    <w:link w:val="47"/>
    <w:qFormat/>
    <w:uiPriority w:val="0"/>
    <w:rPr>
      <w:rFonts w:ascii="仿宋_GB2312" w:eastAsia="仿宋_GB2312"/>
    </w:rPr>
  </w:style>
  <w:style w:type="character" w:customStyle="1" w:styleId="47">
    <w:name w:val="脚注 字符"/>
    <w:basedOn w:val="40"/>
    <w:link w:val="46"/>
    <w:qFormat/>
    <w:uiPriority w:val="0"/>
    <w:rPr>
      <w:rFonts w:ascii="仿宋_GB2312" w:eastAsia="仿宋_GB2312"/>
      <w:kern w:val="2"/>
      <w:sz w:val="18"/>
      <w:szCs w:val="18"/>
    </w:rPr>
  </w:style>
  <w:style w:type="paragraph" w:customStyle="1" w:styleId="48">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Table Paragraph"/>
    <w:basedOn w:val="1"/>
    <w:qFormat/>
    <w:uiPriority w:val="1"/>
    <w:pPr>
      <w:autoSpaceDE w:val="0"/>
      <w:autoSpaceDN w:val="0"/>
      <w:jc w:val="left"/>
    </w:pPr>
    <w:rPr>
      <w:rFonts w:ascii="仿宋" w:hAnsi="仿宋" w:eastAsia="仿宋" w:cs="仿宋"/>
      <w:kern w:val="0"/>
      <w:sz w:val="22"/>
      <w:lang w:val="zh-CN" w:bidi="zh-CN"/>
    </w:rPr>
  </w:style>
  <w:style w:type="paragraph" w:customStyle="1" w:styleId="50">
    <w:name w:val="WPSOffice手动目录 1"/>
    <w:qFormat/>
    <w:uiPriority w:val="0"/>
    <w:rPr>
      <w:rFonts w:asciiTheme="minorHAnsi" w:hAnsiTheme="minorHAnsi" w:eastAsiaTheme="minorEastAsia" w:cstheme="minorBidi"/>
      <w:lang w:val="en-US" w:eastAsia="zh-CN" w:bidi="ar-SA"/>
    </w:rPr>
  </w:style>
  <w:style w:type="paragraph" w:customStyle="1" w:styleId="5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2">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2014FF-24BA-485C-BBDE-DF4D1A58C72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2381</Words>
  <Characters>13572</Characters>
  <Lines>113</Lines>
  <Paragraphs>31</Paragraphs>
  <TotalTime>0</TotalTime>
  <ScaleCrop>false</ScaleCrop>
  <LinksUpToDate>false</LinksUpToDate>
  <CharactersWithSpaces>15922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2023-02-16T05:41:00Z</dcterms:created>
  <dc:creator>xb21cn</dc:creator>
  <cp:lastModifiedBy>Administrator</cp:lastModifiedBy>
  <cp:lastPrinted>2023-02-08T02:07:00Z</cp:lastPrinted>
  <dcterms:modified xsi:type="dcterms:W3CDTF">2023-02-27T07:41:15Z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B1C036FA3B7E420C8E87946CBB9841A1</vt:lpwstr>
  </property>
</Properties>
</file>