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val="0"/>
        <w:snapToGrid w:val="0"/>
        <w:spacing w:before="0" w:after="0" w:line="560" w:lineRule="exact"/>
        <w:jc w:val="left"/>
        <w:textAlignment w:val="auto"/>
        <w:rPr>
          <w:rFonts w:hint="eastAsia" w:ascii="黑体" w:hAnsi="黑体" w:eastAsia="黑体" w:cs="黑体"/>
          <w:b w:val="0"/>
          <w:bCs w:val="0"/>
          <w:color w:val="auto"/>
          <w:lang w:eastAsia="zh-CN"/>
        </w:rPr>
      </w:pPr>
      <w:r>
        <w:rPr>
          <w:rFonts w:hint="eastAsia" w:ascii="黑体" w:hAnsi="黑体" w:eastAsia="黑体" w:cs="黑体"/>
          <w:b w:val="0"/>
          <w:bCs w:val="0"/>
          <w:color w:val="auto"/>
          <w:lang w:eastAsia="zh-CN"/>
        </w:rPr>
        <w:t>附件</w:t>
      </w:r>
    </w:p>
    <w:p>
      <w:pPr>
        <w:pStyle w:val="4"/>
        <w:pageBreakBefore w:val="0"/>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社会保险费文书电子送达确认书</w:t>
      </w:r>
    </w:p>
    <w:p>
      <w:pPr>
        <w:rPr>
          <w:rFonts w:hint="eastAsia"/>
          <w:sz w:val="32"/>
          <w:szCs w:val="32"/>
        </w:rPr>
      </w:pPr>
      <w:bookmarkStart w:id="0" w:name="_GoBack"/>
      <w:bookmarkEnd w:id="0"/>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为进一步便利缴费人办费，保护缴费人合法权益，税务机关自2023年9月1日起在全省（不含深圳）范围内推行社会保险费文书电子送达。签订本确认书前，请您知悉以下内容：</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电子送达社会保险费文书的范围为税务机关社会保险费征收管理中出具的文书，主要包括《责令限期改正通知书》《社会保险费限期缴纳通知书》，暂不包括社会保险费征收决定书、强制执行以及行政复议过程中使用的文书。</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二、缴费人签订本确认书后，税务机关可以通过电子税务局送达电子社会保险费文书。电子版式社会保险费文书到达电子税务局缴费人端的日期为送达日期。</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三、电子版式社会保险费文书与纸质社会保险费文书具有同等法律效力。缴费人需要纸质文书的，可自行下载打印，也可以到税务机关办税服务厅打印。</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□我已认真阅读并理解《社会保险费文书电子送达确认书》全部内容，同意税务机关通过电子税务局送达电子社会保险费文书。</w:t>
      </w:r>
    </w:p>
    <w:p>
      <w:pPr>
        <w:rPr>
          <w:rFonts w:hint="eastAsia"/>
        </w:rPr>
      </w:pPr>
    </w:p>
    <w:p>
      <w:pPr>
        <w:pStyle w:val="6"/>
        <w:pageBreakBefore w:val="0"/>
        <w:kinsoku/>
        <w:wordWrap/>
        <w:overflowPunct/>
        <w:topLinePunct w:val="0"/>
        <w:autoSpaceDE/>
        <w:autoSpaceDN/>
        <w:bidi w:val="0"/>
        <w:adjustRightInd w:val="0"/>
        <w:snapToGrid w:val="0"/>
        <w:spacing w:line="560" w:lineRule="exact"/>
        <w:ind w:left="5880" w:right="21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缴费人签字</w:t>
      </w:r>
    </w:p>
    <w:p>
      <w:pPr>
        <w:pStyle w:val="6"/>
        <w:pageBreakBefore w:val="0"/>
        <w:kinsoku/>
        <w:wordWrap/>
        <w:overflowPunct/>
        <w:topLinePunct w:val="0"/>
        <w:autoSpaceDE/>
        <w:autoSpaceDN/>
        <w:bidi w:val="0"/>
        <w:adjustRightInd w:val="0"/>
        <w:snapToGrid w:val="0"/>
        <w:spacing w:line="560" w:lineRule="exact"/>
        <w:ind w:left="5880" w:right="21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（印章）</w:t>
      </w:r>
    </w:p>
    <w:p>
      <w:pPr>
        <w:pStyle w:val="6"/>
        <w:pageBreakBefore w:val="0"/>
        <w:kinsoku/>
        <w:wordWrap/>
        <w:overflowPunct/>
        <w:topLinePunct w:val="0"/>
        <w:autoSpaceDE/>
        <w:autoSpaceDN/>
        <w:bidi w:val="0"/>
        <w:adjustRightInd w:val="0"/>
        <w:snapToGrid w:val="0"/>
        <w:spacing w:line="560" w:lineRule="exact"/>
        <w:ind w:left="5880" w:right="210" w:firstLine="42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61D09"/>
    <w:rsid w:val="1A4A3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31"/>
    <w:basedOn w:val="5"/>
    <w:next w:val="5"/>
    <w:qFormat/>
    <w:uiPriority w:val="0"/>
    <w:pPr>
      <w:keepNext/>
      <w:keepLines/>
      <w:widowControl/>
      <w:spacing w:before="260" w:after="260" w:line="416" w:lineRule="auto"/>
      <w:jc w:val="left"/>
      <w:outlineLvl w:val="2"/>
    </w:pPr>
    <w:rPr>
      <w:rFonts w:ascii="宋体" w:hAnsi="宋体"/>
      <w:b/>
      <w:bCs/>
      <w:kern w:val="0"/>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2023-09-01T00:52:08Z</dcterms:created>
  <dc:creator>admin</dc:creator>
  <cp:lastModifiedBy>子豪</cp:lastModifiedBy>
  <dcterms:modified xsi:type="dcterms:W3CDTF">2023-09-01T00:54:15Z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