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0" w:firstLineChars="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惠州惠阳铜鼓岭市级森林公园经营范围</w:t>
      </w:r>
    </w:p>
    <w:p>
      <w:pPr>
        <w:spacing w:line="560" w:lineRule="exact"/>
        <w:ind w:firstLine="0" w:firstLineChars="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调整(征求意见稿）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30"/>
          <w:szCs w:val="30"/>
          <w:lang w:val="en-US" w:eastAsia="zh-CN"/>
        </w:rPr>
        <w:t>一、调整背景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00" w:firstLineChars="200"/>
        <w:jc w:val="both"/>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b w:val="0"/>
          <w:bCs w:val="0"/>
          <w:sz w:val="30"/>
          <w:szCs w:val="30"/>
          <w:lang w:val="en-US" w:eastAsia="zh-CN"/>
        </w:rPr>
        <w:t>500千伏深汕至现代（皇岗）线路工程</w:t>
      </w:r>
      <w:r>
        <w:rPr>
          <w:rFonts w:hint="eastAsia" w:eastAsia="仿宋" w:cs="Times New Roman"/>
          <w:b w:val="0"/>
          <w:bCs w:val="0"/>
          <w:sz w:val="30"/>
          <w:szCs w:val="30"/>
          <w:lang w:val="en-US" w:eastAsia="zh-CN"/>
        </w:rPr>
        <w:t>是</w:t>
      </w:r>
      <w:r>
        <w:rPr>
          <w:rFonts w:hint="default" w:ascii="Times New Roman" w:hAnsi="Times New Roman" w:eastAsia="仿宋" w:cs="Times New Roman"/>
          <w:b w:val="0"/>
          <w:bCs w:val="0"/>
          <w:sz w:val="30"/>
          <w:szCs w:val="30"/>
          <w:lang w:val="en-US" w:eastAsia="zh-CN"/>
        </w:rPr>
        <w:t>广东省2023年重点建设项目（粤发改重点〔2023〕72号）</w:t>
      </w:r>
      <w:r>
        <w:rPr>
          <w:rFonts w:hint="eastAsia" w:eastAsia="仿宋" w:cs="Times New Roman"/>
          <w:b w:val="0"/>
          <w:bCs w:val="0"/>
          <w:sz w:val="30"/>
          <w:szCs w:val="30"/>
          <w:lang w:val="en-US" w:eastAsia="zh-CN"/>
        </w:rPr>
        <w:t>，同时被纳入国家能源局“十四五”电力规划（国能综函电力〔2023〕20号）</w:t>
      </w:r>
      <w:r>
        <w:rPr>
          <w:rFonts w:hint="default" w:ascii="Times New Roman" w:hAnsi="Times New Roman" w:eastAsia="仿宋" w:cs="Times New Roman"/>
          <w:b w:val="0"/>
          <w:bCs w:val="0"/>
          <w:sz w:val="30"/>
          <w:szCs w:val="30"/>
          <w:lang w:val="en-US" w:eastAsia="zh-CN"/>
        </w:rPr>
        <w:t>。项目的建设是缓解惠州市及其周边区域用电负荷，完善500千伏电网结构，提高供电可靠性和电能质量的重要举措。根据《500千伏深汕至现代（皇岗）线路工程穿越惠州惠阳铜鼓岭市级森林公园路径唯一性论证报告》和省能源局关于路径唯一性论证报告的审查意见，项目</w:t>
      </w:r>
      <w:r>
        <w:rPr>
          <w:rFonts w:hint="eastAsia" w:eastAsia="仿宋" w:cs="Times New Roman"/>
          <w:b w:val="0"/>
          <w:bCs w:val="0"/>
          <w:sz w:val="30"/>
          <w:szCs w:val="30"/>
          <w:lang w:val="en-US" w:eastAsia="zh-CN"/>
        </w:rPr>
        <w:t>部分线路</w:t>
      </w:r>
      <w:r>
        <w:rPr>
          <w:rFonts w:hint="default" w:ascii="Times New Roman" w:hAnsi="Times New Roman" w:eastAsia="仿宋" w:cs="Times New Roman"/>
          <w:b w:val="0"/>
          <w:bCs w:val="0"/>
          <w:sz w:val="30"/>
          <w:szCs w:val="30"/>
          <w:lang w:val="en-US" w:eastAsia="zh-CN"/>
        </w:rPr>
        <w:t>需穿越惠州惠阳铜鼓岭市级森林公园并占用森林公园土地。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30"/>
          <w:szCs w:val="30"/>
          <w:lang w:val="en-US" w:eastAsia="zh-CN"/>
        </w:rPr>
        <w:t>二、调整方案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00" w:firstLineChars="200"/>
        <w:jc w:val="both"/>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t>本次调整将500千伏深汕至现代（皇岗）线路工程在森林公园内塔基永久占地区域调出森林公园范围，调出区域面积共计</w:t>
      </w:r>
      <w:r>
        <w:rPr>
          <w:rFonts w:hint="eastAsia" w:eastAsia="仿宋" w:cs="Times New Roman"/>
          <w:sz w:val="30"/>
          <w:szCs w:val="30"/>
          <w:lang w:val="en-US" w:eastAsia="zh-CN"/>
        </w:rPr>
        <w:t>0.2425</w:t>
      </w:r>
      <w:r>
        <w:rPr>
          <w:rFonts w:hint="default" w:ascii="Times New Roman" w:hAnsi="Times New Roman" w:eastAsia="仿宋" w:cs="Times New Roman"/>
          <w:sz w:val="30"/>
          <w:szCs w:val="30"/>
          <w:lang w:val="en-US" w:eastAsia="zh-CN"/>
        </w:rPr>
        <w:t>公顷。</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00" w:firstLineChars="200"/>
        <w:jc w:val="both"/>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t>由于500千伏深汕至现代（皇岗）线路工程同时穿越惠州</w:t>
      </w:r>
      <w:r>
        <w:rPr>
          <w:rFonts w:hint="eastAsia" w:eastAsia="仿宋" w:cs="Times New Roman"/>
          <w:sz w:val="30"/>
          <w:szCs w:val="30"/>
          <w:lang w:val="en-US" w:eastAsia="zh-CN"/>
        </w:rPr>
        <w:t>叶挺</w:t>
      </w:r>
      <w:r>
        <w:rPr>
          <w:rFonts w:hint="default" w:ascii="Times New Roman" w:hAnsi="Times New Roman" w:eastAsia="仿宋" w:cs="Times New Roman"/>
          <w:sz w:val="30"/>
          <w:szCs w:val="30"/>
          <w:lang w:val="en-US" w:eastAsia="zh-CN"/>
        </w:rPr>
        <w:t>市级森林公园</w:t>
      </w:r>
      <w:r>
        <w:rPr>
          <w:rFonts w:hint="eastAsia" w:eastAsia="仿宋" w:cs="Times New Roman"/>
          <w:sz w:val="30"/>
          <w:szCs w:val="30"/>
          <w:lang w:val="en-US" w:eastAsia="zh-CN"/>
        </w:rPr>
        <w:t>和</w:t>
      </w:r>
      <w:r>
        <w:rPr>
          <w:rFonts w:hint="default" w:ascii="Times New Roman" w:hAnsi="Times New Roman" w:eastAsia="仿宋" w:cs="Times New Roman"/>
          <w:sz w:val="30"/>
          <w:szCs w:val="30"/>
          <w:lang w:val="en-US" w:eastAsia="zh-CN"/>
        </w:rPr>
        <w:t>惠州惠阳铜鼓岭市级森林公园，</w:t>
      </w:r>
      <w:r>
        <w:rPr>
          <w:rFonts w:hint="eastAsia" w:eastAsia="仿宋" w:cs="Times New Roman"/>
          <w:sz w:val="30"/>
          <w:szCs w:val="30"/>
          <w:lang w:val="en-US" w:eastAsia="zh-CN"/>
        </w:rPr>
        <w:t>通过对叶挺森林公园和铜鼓岭森林公园周边区域生态环境进行实地调查，结合与地方村委沟通协商结果，仅惠州叶挺市级森林公园北侧外缘永湖镇老围下村陈坑村小组部分地块具备落实森林公园调整“占补平衡”可行性。</w:t>
      </w:r>
      <w:r>
        <w:rPr>
          <w:rFonts w:hint="default" w:ascii="Times New Roman" w:hAnsi="Times New Roman" w:eastAsia="仿宋" w:cs="Times New Roman"/>
          <w:sz w:val="30"/>
          <w:szCs w:val="30"/>
          <w:lang w:val="en-US" w:eastAsia="zh-CN"/>
        </w:rPr>
        <w:t>因此，本次因工程调整减少的面积拟统一在</w:t>
      </w:r>
      <w:r>
        <w:rPr>
          <w:rFonts w:hint="eastAsia" w:eastAsia="仿宋" w:cs="Times New Roman"/>
          <w:sz w:val="30"/>
          <w:szCs w:val="30"/>
          <w:lang w:val="en-US" w:eastAsia="zh-CN"/>
        </w:rPr>
        <w:t>叶挺森林公园</w:t>
      </w:r>
      <w:r>
        <w:rPr>
          <w:rFonts w:hint="default" w:ascii="Times New Roman" w:hAnsi="Times New Roman" w:eastAsia="仿宋" w:cs="Times New Roman"/>
          <w:sz w:val="30"/>
          <w:szCs w:val="30"/>
          <w:lang w:val="en-US" w:eastAsia="zh-CN"/>
        </w:rPr>
        <w:t>周边进行补划，确保整体占补平衡。拟调入区域与</w:t>
      </w:r>
      <w:r>
        <w:rPr>
          <w:rFonts w:hint="eastAsia" w:eastAsia="仿宋" w:cs="Times New Roman"/>
          <w:sz w:val="30"/>
          <w:szCs w:val="30"/>
          <w:lang w:val="en-US" w:eastAsia="zh-CN"/>
        </w:rPr>
        <w:t>叶挺森林公园</w:t>
      </w:r>
      <w:r>
        <w:rPr>
          <w:rFonts w:hint="default" w:ascii="Times New Roman" w:hAnsi="Times New Roman" w:eastAsia="仿宋" w:cs="Times New Roman"/>
          <w:sz w:val="30"/>
          <w:szCs w:val="30"/>
          <w:lang w:val="en-US" w:eastAsia="zh-CN"/>
        </w:rPr>
        <w:t>北侧接壤，总面积</w:t>
      </w:r>
      <w:r>
        <w:rPr>
          <w:rFonts w:hint="eastAsia" w:eastAsia="仿宋" w:cs="Times New Roman"/>
          <w:sz w:val="30"/>
          <w:szCs w:val="30"/>
          <w:lang w:val="en-US" w:eastAsia="zh-CN"/>
        </w:rPr>
        <w:t>0.7808</w:t>
      </w:r>
      <w:r>
        <w:rPr>
          <w:rFonts w:hint="default" w:ascii="Times New Roman" w:hAnsi="Times New Roman" w:eastAsia="仿宋" w:cs="Times New Roman"/>
          <w:sz w:val="30"/>
          <w:szCs w:val="30"/>
          <w:lang w:val="en-US" w:eastAsia="zh-CN"/>
        </w:rPr>
        <w:t>公顷，详见附图。</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30"/>
          <w:szCs w:val="30"/>
          <w:lang w:val="en-US" w:eastAsia="zh-CN"/>
        </w:rPr>
        <w:t>三、调整结果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00" w:firstLineChars="200"/>
        <w:jc w:val="both"/>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t>经营范围调整后，惠州惠阳铜鼓岭市级森林公园面积为</w:t>
      </w:r>
      <w:r>
        <w:rPr>
          <w:rFonts w:hint="eastAsia" w:eastAsia="仿宋" w:cs="Times New Roman"/>
          <w:sz w:val="30"/>
          <w:szCs w:val="30"/>
          <w:lang w:val="en-US" w:eastAsia="zh-CN"/>
        </w:rPr>
        <w:t>84.4583</w:t>
      </w:r>
      <w:r>
        <w:rPr>
          <w:rFonts w:hint="default" w:ascii="Times New Roman" w:hAnsi="Times New Roman" w:eastAsia="仿宋" w:cs="Times New Roman"/>
          <w:sz w:val="30"/>
          <w:szCs w:val="30"/>
          <w:lang w:val="en-US" w:eastAsia="zh-CN"/>
        </w:rPr>
        <w:t>公顷，面积</w:t>
      </w:r>
      <w:r>
        <w:rPr>
          <w:rFonts w:hint="eastAsia" w:eastAsia="仿宋" w:cs="Times New Roman"/>
          <w:sz w:val="30"/>
          <w:szCs w:val="30"/>
          <w:lang w:val="en-US" w:eastAsia="zh-CN"/>
        </w:rPr>
        <w:t>减少</w:t>
      </w:r>
      <w:r>
        <w:rPr>
          <w:rFonts w:hint="default" w:ascii="Times New Roman" w:hAnsi="Times New Roman" w:eastAsia="仿宋" w:cs="Times New Roman"/>
          <w:sz w:val="30"/>
          <w:szCs w:val="30"/>
          <w:lang w:val="en-US" w:eastAsia="zh-CN"/>
        </w:rPr>
        <w:t>0.</w:t>
      </w:r>
      <w:r>
        <w:rPr>
          <w:rFonts w:hint="eastAsia" w:eastAsia="仿宋" w:cs="Times New Roman"/>
          <w:sz w:val="30"/>
          <w:szCs w:val="30"/>
          <w:lang w:val="en-US" w:eastAsia="zh-CN"/>
        </w:rPr>
        <w:t>2425</w:t>
      </w:r>
      <w:r>
        <w:rPr>
          <w:rFonts w:hint="default" w:ascii="Times New Roman" w:hAnsi="Times New Roman" w:eastAsia="仿宋" w:cs="Times New Roman"/>
          <w:sz w:val="30"/>
          <w:szCs w:val="30"/>
          <w:lang w:val="en-US" w:eastAsia="zh-CN"/>
        </w:rPr>
        <w:t>公顷，相比</w:t>
      </w:r>
      <w:r>
        <w:rPr>
          <w:rFonts w:hint="eastAsia" w:eastAsia="仿宋" w:cs="Times New Roman"/>
          <w:sz w:val="30"/>
          <w:szCs w:val="30"/>
          <w:lang w:val="en-US" w:eastAsia="zh-CN"/>
        </w:rPr>
        <w:t>减少</w:t>
      </w:r>
      <w:r>
        <w:rPr>
          <w:rFonts w:hint="default" w:ascii="Times New Roman" w:hAnsi="Times New Roman" w:eastAsia="仿宋" w:cs="Times New Roman"/>
          <w:sz w:val="30"/>
          <w:szCs w:val="30"/>
          <w:lang w:val="en-US" w:eastAsia="zh-CN"/>
        </w:rPr>
        <w:t>0.</w:t>
      </w:r>
      <w:r>
        <w:rPr>
          <w:rFonts w:hint="eastAsia" w:eastAsia="仿宋" w:cs="Times New Roman"/>
          <w:sz w:val="30"/>
          <w:szCs w:val="30"/>
          <w:lang w:val="en-US" w:eastAsia="zh-CN"/>
        </w:rPr>
        <w:t>03%</w:t>
      </w:r>
      <w:r>
        <w:rPr>
          <w:rFonts w:hint="default" w:ascii="Times New Roman" w:hAnsi="Times New Roman" w:eastAsia="仿宋" w:cs="Times New Roman"/>
          <w:sz w:val="30"/>
          <w:szCs w:val="30"/>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00" w:firstLineChars="200"/>
        <w:jc w:val="both"/>
        <w:textAlignment w:val="auto"/>
        <w:rPr>
          <w:rFonts w:hint="default" w:ascii="Times New Roman" w:hAnsi="Times New Roman" w:eastAsia="仿宋" w:cs="Times New Roman"/>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t>附图</w:t>
      </w:r>
      <w:r>
        <w:rPr>
          <w:rFonts w:hint="eastAsia" w:eastAsia="仿宋" w:cs="Times New Roman"/>
          <w:sz w:val="30"/>
          <w:szCs w:val="30"/>
          <w:lang w:val="en-US" w:eastAsia="zh-CN"/>
        </w:rPr>
        <w:t>1</w:t>
      </w:r>
      <w:r>
        <w:rPr>
          <w:rFonts w:hint="default" w:ascii="Times New Roman" w:hAnsi="Times New Roman" w:eastAsia="仿宋" w:cs="Times New Roman"/>
          <w:sz w:val="30"/>
          <w:szCs w:val="30"/>
          <w:lang w:val="en-US" w:eastAsia="zh-CN"/>
        </w:rPr>
        <w:t>惠州惠阳铜鼓岭市级森林公园经营范围调整方案示意图</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仿宋" w:cs="Times New Roman"/>
          <w:sz w:val="30"/>
          <w:szCs w:val="30"/>
          <w:lang w:val="en-US" w:eastAsia="zh-CN"/>
        </w:rPr>
        <w:sectPr>
          <w:headerReference r:id="rId6" w:type="first"/>
          <w:footerReference r:id="rId8" w:type="first"/>
          <w:headerReference r:id="rId5" w:type="even"/>
          <w:footerReference r:id="rId7" w:type="even"/>
          <w:pgSz w:w="11906" w:h="16838"/>
          <w:pgMar w:top="2154" w:right="1587" w:bottom="2041" w:left="1587" w:header="851" w:footer="992" w:gutter="0"/>
          <w:cols w:space="0" w:num="1"/>
          <w:rtlGutter w:val="0"/>
          <w:docGrid w:type="lines" w:linePitch="332" w:charSpace="0"/>
        </w:sectPr>
      </w:pPr>
      <w:r>
        <w:rPr>
          <w:rFonts w:hint="eastAsia" w:eastAsia="仿宋" w:cs="Times New Roman"/>
          <w:sz w:val="30"/>
          <w:szCs w:val="30"/>
          <w:lang w:val="en-US" w:eastAsia="zh-CN"/>
        </w:rPr>
        <w:t>附图2</w:t>
      </w:r>
      <w:r>
        <w:rPr>
          <w:rFonts w:hint="default" w:ascii="Times New Roman" w:hAnsi="Times New Roman" w:eastAsia="仿宋" w:cs="Times New Roman"/>
          <w:sz w:val="30"/>
          <w:szCs w:val="30"/>
          <w:lang w:val="en-US" w:eastAsia="zh-CN"/>
        </w:rPr>
        <w:t>惠州</w:t>
      </w:r>
      <w:r>
        <w:rPr>
          <w:rFonts w:hint="eastAsia" w:eastAsia="仿宋" w:cs="Times New Roman"/>
          <w:sz w:val="30"/>
          <w:szCs w:val="30"/>
          <w:lang w:val="en-US" w:eastAsia="zh-CN"/>
        </w:rPr>
        <w:t>叶挺</w:t>
      </w:r>
      <w:r>
        <w:rPr>
          <w:rFonts w:hint="default" w:ascii="Times New Roman" w:hAnsi="Times New Roman" w:eastAsia="仿宋" w:cs="Times New Roman"/>
          <w:sz w:val="30"/>
          <w:szCs w:val="30"/>
          <w:lang w:val="en-US" w:eastAsia="zh-CN"/>
        </w:rPr>
        <w:t>市级森林公园</w:t>
      </w:r>
      <w:r>
        <w:rPr>
          <w:rFonts w:hint="eastAsia" w:eastAsia="仿宋" w:cs="Times New Roman"/>
          <w:sz w:val="30"/>
          <w:szCs w:val="30"/>
          <w:lang w:val="en-US" w:eastAsia="zh-CN"/>
        </w:rPr>
        <w:t>经营范围</w:t>
      </w:r>
      <w:r>
        <w:rPr>
          <w:rFonts w:hint="default" w:ascii="Times New Roman" w:hAnsi="Times New Roman" w:eastAsia="仿宋" w:cs="Times New Roman"/>
          <w:sz w:val="30"/>
          <w:szCs w:val="30"/>
          <w:lang w:val="en-US" w:eastAsia="zh-CN"/>
        </w:rPr>
        <w:t>调整方案示意图</w:t>
      </w:r>
    </w:p>
    <w:p>
      <w:pPr>
        <w:bidi w:val="0"/>
        <w:ind w:left="0" w:leftChars="0" w:firstLine="0" w:firstLineChars="0"/>
        <w:jc w:val="center"/>
        <w:rPr>
          <w:rFonts w:hint="default" w:ascii="Times New Roman" w:hAnsi="Times New Roman" w:cs="Times New Roman"/>
          <w:lang w:val="en-US" w:eastAsia="zh-CN"/>
        </w:rPr>
      </w:pPr>
      <w:r>
        <w:rPr>
          <w:rFonts w:hint="default"/>
          <w:lang w:val="en-US" w:eastAsia="zh-CN"/>
        </w:rPr>
        <w:drawing>
          <wp:inline distT="0" distB="0" distL="114300" distR="114300">
            <wp:extent cx="10580370" cy="7486650"/>
            <wp:effectExtent l="0" t="0" r="11430" b="0"/>
            <wp:docPr id="2" name="图片 2" descr="G:/004 2023/006-5 2518项目生评&amp;调整/03-森林公园经营范围调整方案示意图 无线路（铜鼓岭）.jpg03-森林公园经营范围调整方案示意图 无线路（铜鼓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004 2023/006-5 2518项目生评&amp;调整/03-森林公园经营范围调整方案示意图 无线路（铜鼓岭）.jpg03-森林公园经营范围调整方案示意图 无线路（铜鼓岭）"/>
                    <pic:cNvPicPr>
                      <a:picLocks noChangeAspect="1"/>
                    </pic:cNvPicPr>
                  </pic:nvPicPr>
                  <pic:blipFill>
                    <a:blip r:embed="rId10"/>
                    <a:srcRect t="3" b="3"/>
                    <a:stretch>
                      <a:fillRect/>
                    </a:stretch>
                  </pic:blipFill>
                  <pic:spPr>
                    <a:xfrm>
                      <a:off x="0" y="0"/>
                      <a:ext cx="10580370" cy="7486650"/>
                    </a:xfrm>
                    <a:prstGeom prst="rect">
                      <a:avLst/>
                    </a:prstGeom>
                  </pic:spPr>
                </pic:pic>
              </a:graphicData>
            </a:graphic>
          </wp:inline>
        </w:drawing>
      </w:r>
      <w:bookmarkStart w:id="0" w:name="_GoBack"/>
      <w:bookmarkEnd w:id="0"/>
      <w:r>
        <w:rPr>
          <w:rFonts w:hint="default" w:ascii="Times New Roman" w:hAnsi="Times New Roman" w:cs="Times New Roman"/>
          <w:lang w:val="en-US" w:eastAsia="zh-CN"/>
        </w:rPr>
        <w:drawing>
          <wp:inline distT="0" distB="0" distL="114300" distR="114300">
            <wp:extent cx="10353675" cy="7328535"/>
            <wp:effectExtent l="9525" t="9525" r="19050" b="15240"/>
            <wp:docPr id="1" name="图片 1" descr="G:/2023年工作/7、叶挺森林公园/叶挺森林公园占补平衡/惠州叶挺市级森林公园经营范围调整方案示意图.jpg惠州叶挺市级森林公园经营范围调整方案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2023年工作/7、叶挺森林公园/叶挺森林公园占补平衡/惠州叶挺市级森林公园经营范围调整方案示意图.jpg惠州叶挺市级森林公园经营范围调整方案示意图"/>
                    <pic:cNvPicPr>
                      <a:picLocks noChangeAspect="1"/>
                    </pic:cNvPicPr>
                  </pic:nvPicPr>
                  <pic:blipFill>
                    <a:blip r:embed="rId11"/>
                    <a:srcRect l="13" r="13"/>
                    <a:stretch>
                      <a:fillRect/>
                    </a:stretch>
                  </pic:blipFill>
                  <pic:spPr>
                    <a:xfrm>
                      <a:off x="0" y="0"/>
                      <a:ext cx="10353675" cy="7328535"/>
                    </a:xfrm>
                    <a:prstGeom prst="rect">
                      <a:avLst/>
                    </a:prstGeom>
                    <a:ln w="3175" cmpd="sng">
                      <a:solidFill>
                        <a:schemeClr val="tx1"/>
                      </a:solidFill>
                      <a:prstDash val="solid"/>
                    </a:ln>
                  </pic:spPr>
                </pic:pic>
              </a:graphicData>
            </a:graphic>
          </wp:inline>
        </w:drawing>
      </w:r>
    </w:p>
    <w:sectPr>
      <w:pgSz w:w="16838" w:h="11906" w:orient="landscape"/>
      <w:pgMar w:top="57" w:right="57" w:bottom="57" w:left="57" w:header="0" w:footer="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179821-5EB1-42D3-90E5-CD749AD668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3EF9C91-FDB9-4D2D-BEAB-4303925E0A5F}"/>
  </w:font>
  <w:font w:name="仿宋">
    <w:panose1 w:val="02010609060101010101"/>
    <w:charset w:val="86"/>
    <w:family w:val="auto"/>
    <w:pitch w:val="default"/>
    <w:sig w:usb0="800002BF" w:usb1="38CF7CFA" w:usb2="00000016" w:usb3="00000000" w:csb0="00040001" w:csb1="00000000"/>
    <w:embedRegular r:id="rId3" w:fontKey="{1FE60BEC-7E1F-4A9A-B2B3-43A3E5C15C7D}"/>
  </w:font>
  <w:font w:name="方正小标宋简体">
    <w:panose1 w:val="02000000000000000000"/>
    <w:charset w:val="86"/>
    <w:family w:val="auto"/>
    <w:pitch w:val="default"/>
    <w:sig w:usb0="00000001" w:usb1="08000000" w:usb2="00000000" w:usb3="00000000" w:csb0="00040000" w:csb1="00000000"/>
    <w:embedRegular r:id="rId4" w:fontKey="{8BB09CBF-40AD-46DC-AE6E-EBE9F82A87E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C43B17"/>
    <w:multiLevelType w:val="multilevel"/>
    <w:tmpl w:val="1AC43B17"/>
    <w:lvl w:ilvl="0" w:tentative="0">
      <w:start w:val="1"/>
      <w:numFmt w:val="chineseCounting"/>
      <w:pStyle w:val="3"/>
      <w:suff w:val="space"/>
      <w:lvlText w:val="第%1章"/>
      <w:lvlJc w:val="left"/>
      <w:pPr>
        <w:tabs>
          <w:tab w:val="left" w:pos="5528"/>
        </w:tabs>
        <w:ind w:left="5960" w:hanging="432"/>
      </w:pPr>
      <w:rPr>
        <w:rFonts w:hint="eastAsia" w:ascii="宋体" w:hAnsi="宋体" w:eastAsia="黑体" w:cs="宋体"/>
        <w:sz w:val="32"/>
        <w:szCs w:val="32"/>
        <w:lang w:val="en-US"/>
      </w:rPr>
    </w:lvl>
    <w:lvl w:ilvl="1" w:tentative="0">
      <w:start w:val="1"/>
      <w:numFmt w:val="decimal"/>
      <w:pStyle w:val="4"/>
      <w:isLgl/>
      <w:suff w:val="space"/>
      <w:lvlText w:val="%1.%2"/>
      <w:lvlJc w:val="left"/>
      <w:pPr>
        <w:tabs>
          <w:tab w:val="left" w:pos="3402"/>
        </w:tabs>
        <w:ind w:left="3977" w:hanging="575"/>
      </w:pPr>
      <w:rPr>
        <w:rFonts w:hint="eastAsia" w:ascii="Times New Roman" w:hAnsi="Times New Roman" w:eastAsia="宋体" w:cs="宋体"/>
      </w:rPr>
    </w:lvl>
    <w:lvl w:ilvl="2" w:tentative="0">
      <w:start w:val="1"/>
      <w:numFmt w:val="decimal"/>
      <w:pStyle w:val="2"/>
      <w:isLgl/>
      <w:suff w:val="space"/>
      <w:lvlText w:val="%1.%2.%3"/>
      <w:lvlJc w:val="left"/>
      <w:pPr>
        <w:tabs>
          <w:tab w:val="left" w:pos="0"/>
        </w:tabs>
        <w:ind w:left="720" w:hanging="720"/>
      </w:pPr>
      <w:rPr>
        <w:rFonts w:hint="eastAsia" w:ascii="仿宋" w:hAnsi="仿宋" w:eastAsia="仿宋" w:cs="仿宋"/>
      </w:rPr>
    </w:lvl>
    <w:lvl w:ilvl="3" w:tentative="0">
      <w:start w:val="1"/>
      <w:numFmt w:val="decimal"/>
      <w:pStyle w:val="5"/>
      <w:isLgl/>
      <w:lvlText w:val="%1.%2.%3.%4."/>
      <w:lvlJc w:val="left"/>
      <w:pPr>
        <w:tabs>
          <w:tab w:val="left" w:pos="-289"/>
        </w:tabs>
        <w:ind w:left="155" w:hanging="864"/>
      </w:pPr>
      <w:rPr>
        <w:rFonts w:hint="eastAsia" w:ascii="宋体" w:hAnsi="宋体" w:eastAsia="宋体" w:cs="宋体"/>
      </w:rPr>
    </w:lvl>
    <w:lvl w:ilvl="4" w:tentative="0">
      <w:start w:val="1"/>
      <w:numFmt w:val="decimal"/>
      <w:pStyle w:val="6"/>
      <w:isLgl/>
      <w:lvlText w:val="%1.%2.%3.%4.%5."/>
      <w:lvlJc w:val="left"/>
      <w:pPr>
        <w:ind w:left="299" w:hanging="1008"/>
      </w:pPr>
      <w:rPr>
        <w:rFonts w:hint="eastAsia"/>
      </w:rPr>
    </w:lvl>
    <w:lvl w:ilvl="5" w:tentative="0">
      <w:start w:val="1"/>
      <w:numFmt w:val="decimal"/>
      <w:pStyle w:val="7"/>
      <w:isLgl/>
      <w:lvlText w:val="%1.%2.%3.%4.%5.%6."/>
      <w:lvlJc w:val="left"/>
      <w:pPr>
        <w:ind w:left="442" w:hanging="1151"/>
      </w:pPr>
      <w:rPr>
        <w:rFonts w:hint="eastAsia"/>
      </w:rPr>
    </w:lvl>
    <w:lvl w:ilvl="6" w:tentative="0">
      <w:start w:val="1"/>
      <w:numFmt w:val="decimal"/>
      <w:pStyle w:val="8"/>
      <w:isLgl/>
      <w:lvlText w:val="%1.%2.%3.%4.%5.%6.%7."/>
      <w:lvlJc w:val="left"/>
      <w:pPr>
        <w:ind w:left="587" w:hanging="1296"/>
      </w:pPr>
      <w:rPr>
        <w:rFonts w:hint="eastAsia"/>
      </w:rPr>
    </w:lvl>
    <w:lvl w:ilvl="7" w:tentative="0">
      <w:start w:val="1"/>
      <w:numFmt w:val="decimal"/>
      <w:pStyle w:val="9"/>
      <w:isLgl/>
      <w:lvlText w:val="%1.%2.%3.%4.%5.%6.%7.%8."/>
      <w:lvlJc w:val="left"/>
      <w:pPr>
        <w:ind w:left="731" w:hanging="1440"/>
      </w:pPr>
      <w:rPr>
        <w:rFonts w:hint="eastAsia"/>
      </w:rPr>
    </w:lvl>
    <w:lvl w:ilvl="8" w:tentative="0">
      <w:start w:val="1"/>
      <w:numFmt w:val="decimal"/>
      <w:pStyle w:val="10"/>
      <w:isLgl/>
      <w:lvlText w:val="%1.%2.%3.%4.%5.%6.%7.%8.%9."/>
      <w:lvlJc w:val="left"/>
      <w:pPr>
        <w:ind w:left="874"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embedTrueTypeFonts/>
  <w:saveSubset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xZmY0MTMxOTNiNGFlNDY3N2ZjMzE4NmNkMjZiYTEifQ=="/>
    <w:docVar w:name="KY_MEDREF_DOCUID" w:val="{4EF473E3-2D7D-4281-9060-E46C6BAABAD1}"/>
    <w:docVar w:name="KY_MEDREF_VERSION" w:val="3"/>
  </w:docVars>
  <w:rsids>
    <w:rsidRoot w:val="76825052"/>
    <w:rsid w:val="00FE1942"/>
    <w:rsid w:val="04B769D7"/>
    <w:rsid w:val="063A175C"/>
    <w:rsid w:val="07F514DF"/>
    <w:rsid w:val="0817778D"/>
    <w:rsid w:val="08E04023"/>
    <w:rsid w:val="08EB30F3"/>
    <w:rsid w:val="09556CA9"/>
    <w:rsid w:val="0A765A32"/>
    <w:rsid w:val="0D951880"/>
    <w:rsid w:val="0DB53CD0"/>
    <w:rsid w:val="0ECD6DF7"/>
    <w:rsid w:val="0F5D017B"/>
    <w:rsid w:val="11755C50"/>
    <w:rsid w:val="127A1044"/>
    <w:rsid w:val="12E601A3"/>
    <w:rsid w:val="145002AE"/>
    <w:rsid w:val="166E7112"/>
    <w:rsid w:val="19D92AF4"/>
    <w:rsid w:val="1DA20913"/>
    <w:rsid w:val="1EDA5344"/>
    <w:rsid w:val="20286583"/>
    <w:rsid w:val="206F3770"/>
    <w:rsid w:val="209B4FA7"/>
    <w:rsid w:val="294A30C6"/>
    <w:rsid w:val="2D1C121E"/>
    <w:rsid w:val="2DC17480"/>
    <w:rsid w:val="2E13617D"/>
    <w:rsid w:val="2E4723B8"/>
    <w:rsid w:val="2FF26266"/>
    <w:rsid w:val="30C47D44"/>
    <w:rsid w:val="31B148E3"/>
    <w:rsid w:val="357C0AAC"/>
    <w:rsid w:val="35C42453"/>
    <w:rsid w:val="37092813"/>
    <w:rsid w:val="38156F95"/>
    <w:rsid w:val="382F37A7"/>
    <w:rsid w:val="383365EB"/>
    <w:rsid w:val="390F1C37"/>
    <w:rsid w:val="3B9C6D54"/>
    <w:rsid w:val="3F3C12AC"/>
    <w:rsid w:val="41936B67"/>
    <w:rsid w:val="42227DDF"/>
    <w:rsid w:val="430D368B"/>
    <w:rsid w:val="45BD3146"/>
    <w:rsid w:val="465D2233"/>
    <w:rsid w:val="48D12A65"/>
    <w:rsid w:val="49FF46B9"/>
    <w:rsid w:val="4ADB7BCB"/>
    <w:rsid w:val="4B46598C"/>
    <w:rsid w:val="4BC863A1"/>
    <w:rsid w:val="4DC25072"/>
    <w:rsid w:val="54273E81"/>
    <w:rsid w:val="5656249F"/>
    <w:rsid w:val="567505D2"/>
    <w:rsid w:val="59345076"/>
    <w:rsid w:val="596B518E"/>
    <w:rsid w:val="5A0F163F"/>
    <w:rsid w:val="5C980497"/>
    <w:rsid w:val="5E4915C3"/>
    <w:rsid w:val="607B17DC"/>
    <w:rsid w:val="61AB60F1"/>
    <w:rsid w:val="649B4A3D"/>
    <w:rsid w:val="653B778C"/>
    <w:rsid w:val="65476131"/>
    <w:rsid w:val="65AC2438"/>
    <w:rsid w:val="65E527BF"/>
    <w:rsid w:val="664A412A"/>
    <w:rsid w:val="679B2764"/>
    <w:rsid w:val="69E55F5D"/>
    <w:rsid w:val="6A266C5C"/>
    <w:rsid w:val="6A3A6C75"/>
    <w:rsid w:val="6AE61F48"/>
    <w:rsid w:val="6BA0659B"/>
    <w:rsid w:val="6F6D0703"/>
    <w:rsid w:val="70DA254F"/>
    <w:rsid w:val="715C2F64"/>
    <w:rsid w:val="76825052"/>
    <w:rsid w:val="76DE441B"/>
    <w:rsid w:val="77AD09BA"/>
    <w:rsid w:val="7BC311C4"/>
    <w:rsid w:val="7C0466D2"/>
    <w:rsid w:val="7C817D22"/>
    <w:rsid w:val="7CAB4750"/>
    <w:rsid w:val="7CCB71F0"/>
    <w:rsid w:val="7E1331D0"/>
    <w:rsid w:val="7F454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autoRedefine/>
    <w:qFormat/>
    <w:uiPriority w:val="0"/>
    <w:pPr>
      <w:numPr>
        <w:ilvl w:val="0"/>
        <w:numId w:val="1"/>
      </w:numPr>
      <w:spacing w:before="100" w:beforeLines="100"/>
      <w:ind w:left="5960" w:hanging="432" w:firstLineChars="0"/>
      <w:jc w:val="center"/>
      <w:outlineLvl w:val="0"/>
    </w:pPr>
    <w:rPr>
      <w:b/>
      <w:kern w:val="44"/>
      <w:sz w:val="36"/>
    </w:rPr>
  </w:style>
  <w:style w:type="paragraph" w:styleId="4">
    <w:name w:val="heading 2"/>
    <w:basedOn w:val="1"/>
    <w:next w:val="1"/>
    <w:link w:val="16"/>
    <w:autoRedefine/>
    <w:semiHidden/>
    <w:unhideWhenUsed/>
    <w:qFormat/>
    <w:uiPriority w:val="0"/>
    <w:pPr>
      <w:keepNext/>
      <w:keepLines/>
      <w:numPr>
        <w:ilvl w:val="1"/>
        <w:numId w:val="1"/>
      </w:numPr>
      <w:tabs>
        <w:tab w:val="left" w:pos="0"/>
        <w:tab w:val="left" w:pos="420"/>
        <w:tab w:val="left" w:pos="3119"/>
        <w:tab w:val="left" w:pos="5528"/>
      </w:tabs>
      <w:spacing w:before="50" w:beforeLines="50"/>
      <w:ind w:left="0" w:firstLine="0" w:firstLineChars="0"/>
      <w:jc w:val="left"/>
      <w:outlineLvl w:val="1"/>
    </w:pPr>
    <w:rPr>
      <w:rFonts w:ascii="Times New Roman" w:hAnsi="Times New Roman" w:eastAsia="黑体" w:cstheme="majorBidi"/>
      <w:b/>
      <w:bCs/>
      <w:sz w:val="30"/>
      <w:szCs w:val="32"/>
    </w:rPr>
  </w:style>
  <w:style w:type="paragraph" w:styleId="2">
    <w:name w:val="heading 3"/>
    <w:basedOn w:val="1"/>
    <w:next w:val="1"/>
    <w:link w:val="17"/>
    <w:autoRedefine/>
    <w:semiHidden/>
    <w:unhideWhenUsed/>
    <w:qFormat/>
    <w:uiPriority w:val="0"/>
    <w:pPr>
      <w:numPr>
        <w:ilvl w:val="2"/>
        <w:numId w:val="1"/>
      </w:numPr>
      <w:spacing w:before="40" w:after="80"/>
      <w:ind w:left="720" w:hanging="720" w:firstLineChars="0"/>
      <w:outlineLvl w:val="2"/>
    </w:pPr>
    <w:rPr>
      <w:b/>
      <w:sz w:val="28"/>
    </w:rPr>
  </w:style>
  <w:style w:type="paragraph" w:styleId="5">
    <w:name w:val="heading 4"/>
    <w:basedOn w:val="1"/>
    <w:next w:val="1"/>
    <w:autoRedefine/>
    <w:semiHidden/>
    <w:unhideWhenUsed/>
    <w:qFormat/>
    <w:uiPriority w:val="0"/>
    <w:pPr>
      <w:numPr>
        <w:ilvl w:val="3"/>
        <w:numId w:val="1"/>
      </w:numPr>
      <w:spacing w:before="160" w:after="40"/>
      <w:ind w:left="155" w:hanging="864" w:firstLineChars="0"/>
      <w:outlineLvl w:val="3"/>
    </w:pPr>
    <w:rPr>
      <w:rFonts w:eastAsia="黑体"/>
      <w:sz w:val="28"/>
    </w:rPr>
  </w:style>
  <w:style w:type="paragraph" w:styleId="6">
    <w:name w:val="heading 5"/>
    <w:basedOn w:val="1"/>
    <w:next w:val="1"/>
    <w:link w:val="18"/>
    <w:autoRedefine/>
    <w:semiHidden/>
    <w:unhideWhenUsed/>
    <w:qFormat/>
    <w:uiPriority w:val="0"/>
    <w:pPr>
      <w:numPr>
        <w:ilvl w:val="4"/>
        <w:numId w:val="1"/>
      </w:numPr>
      <w:ind w:left="299" w:hanging="1008" w:firstLineChars="0"/>
      <w:outlineLvl w:val="4"/>
    </w:pPr>
    <w:rPr>
      <w:b/>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442" w:hanging="1151" w:firstLineChars="0"/>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587" w:hanging="1296"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731" w:hanging="1440" w:firstLineChars="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874" w:hanging="1583" w:firstLineChars="0"/>
      <w:outlineLvl w:val="8"/>
    </w:pPr>
    <w:rPr>
      <w:rFonts w:ascii="Arial" w:hAnsi="Arial" w:eastAsia="黑体"/>
      <w:sz w:val="21"/>
    </w:rPr>
  </w:style>
  <w:style w:type="character" w:default="1" w:styleId="15">
    <w:name w:val="Default Paragraph Font"/>
    <w:autoRedefine/>
    <w:semiHidden/>
    <w:unhideWhenUsed/>
    <w:qFormat/>
    <w:uiPriority w:val="1"/>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11">
    <w:name w:val="toa heading"/>
    <w:basedOn w:val="1"/>
    <w:next w:val="1"/>
    <w:autoRedefine/>
    <w:qFormat/>
    <w:uiPriority w:val="0"/>
    <w:pPr>
      <w:spacing w:before="120" w:beforeLines="0" w:beforeAutospacing="0"/>
    </w:pPr>
    <w:rPr>
      <w:rFonts w:ascii="Arial" w:hAnsi="Arial"/>
      <w:sz w:val="24"/>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6">
    <w:name w:val="标题 2 字符"/>
    <w:basedOn w:val="15"/>
    <w:link w:val="4"/>
    <w:autoRedefine/>
    <w:qFormat/>
    <w:uiPriority w:val="9"/>
    <w:rPr>
      <w:rFonts w:ascii="Times New Roman" w:hAnsi="Times New Roman" w:eastAsia="黑体" w:cstheme="majorBidi"/>
      <w:b/>
      <w:bCs/>
      <w:kern w:val="0"/>
      <w:sz w:val="30"/>
      <w:szCs w:val="32"/>
    </w:rPr>
  </w:style>
  <w:style w:type="character" w:customStyle="1" w:styleId="17">
    <w:name w:val="标题 3 字符"/>
    <w:basedOn w:val="15"/>
    <w:link w:val="2"/>
    <w:autoRedefine/>
    <w:qFormat/>
    <w:uiPriority w:val="99"/>
    <w:rPr>
      <w:rFonts w:eastAsia="宋体" w:cstheme="minorBidi"/>
      <w:b/>
      <w:kern w:val="2"/>
      <w:sz w:val="28"/>
      <w:szCs w:val="24"/>
    </w:rPr>
  </w:style>
  <w:style w:type="character" w:customStyle="1" w:styleId="18">
    <w:name w:val="标题 5 字符"/>
    <w:link w:val="6"/>
    <w:autoRedefine/>
    <w:qFormat/>
    <w:uiPriority w:val="0"/>
    <w:rPr>
      <w:rFonts w:eastAsia="宋体"/>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2023-11-14T01:36:00Z</dcterms:created>
  <dc:creator>Y</dc:creator>
  <cp:lastModifiedBy>donger</cp:lastModifiedBy>
  <dcterms:modified xsi:type="dcterms:W3CDTF">2024-01-05T06:39:12Z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F7A72E3082BB42B091BF82CD8BAD3FE2_13</vt:lpwstr>
  </property>
</Properties>
</file>