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spacing w:val="0"/>
          <w:sz w:val="44"/>
          <w:szCs w:val="44"/>
          <w:shd w:val="clear"/>
          <w:lang w:val="en-US" w:eastAsia="zh-CN"/>
        </w:rPr>
      </w:pPr>
      <w:r>
        <w:rPr>
          <w:rFonts w:hint="eastAsia" w:ascii="方正小标宋_GBK" w:hAnsi="方正小标宋_GBK" w:eastAsia="方正小标宋_GBK" w:cs="方正小标宋_GBK"/>
          <w:i w:val="0"/>
          <w:caps w:val="0"/>
          <w:spacing w:val="0"/>
          <w:sz w:val="44"/>
          <w:szCs w:val="44"/>
          <w:shd w:val="clear"/>
          <w:lang w:val="en-US" w:eastAsia="zh-CN"/>
        </w:rPr>
        <w:t>关于惠阳区2023年度预算执行和其他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spacing w:val="0"/>
          <w:sz w:val="44"/>
          <w:szCs w:val="44"/>
          <w:shd w:val="clear"/>
          <w:lang w:val="en-US" w:eastAsia="zh-CN"/>
        </w:rPr>
      </w:pPr>
      <w:r>
        <w:rPr>
          <w:rFonts w:hint="eastAsia" w:ascii="方正小标宋_GBK" w:hAnsi="方正小标宋_GBK" w:eastAsia="方正小标宋_GBK" w:cs="方正小标宋_GBK"/>
          <w:i w:val="0"/>
          <w:caps w:val="0"/>
          <w:spacing w:val="0"/>
          <w:sz w:val="44"/>
          <w:szCs w:val="44"/>
          <w:shd w:val="clear"/>
          <w:lang w:val="en-US" w:eastAsia="zh-CN"/>
        </w:rPr>
        <w:t>财政收支审计查出突出问题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spacing w:val="0"/>
          <w:sz w:val="44"/>
          <w:szCs w:val="44"/>
          <w:shd w:val="clear"/>
          <w:lang w:val="en-US" w:eastAsia="zh-CN"/>
        </w:rPr>
      </w:pPr>
      <w:r>
        <w:rPr>
          <w:rFonts w:hint="eastAsia" w:ascii="方正小标宋_GBK" w:hAnsi="方正小标宋_GBK" w:eastAsia="方正小标宋_GBK" w:cs="方正小标宋_GBK"/>
          <w:i w:val="0"/>
          <w:caps w:val="0"/>
          <w:spacing w:val="0"/>
          <w:sz w:val="44"/>
          <w:szCs w:val="44"/>
          <w:shd w:val="clear"/>
          <w:lang w:val="en-US" w:eastAsia="zh-CN"/>
        </w:rPr>
        <w:t>整改情况报告的解读</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caps w:val="0"/>
          <w:color w:val="auto"/>
          <w:spacing w:val="0"/>
          <w:sz w:val="32"/>
          <w:szCs w:val="32"/>
          <w:shd w:val="clear"/>
          <w:lang w:val="en-US" w:eastAsia="zh-CN"/>
        </w:rPr>
        <w:t xml:space="preserve"> 2025年1月23日，根据区人大常委会工作安排，受区政府委托，区审计局党组书记、局长周越男代表区人民政府向区六届人大常委会第三十一次会议作《关于惠阳区2023年度区本级预算执行和其他财政收支审计查出突出问题的整改情况报告》（以下简称《审计整改报告》，</w:t>
      </w:r>
      <w:r>
        <w:rPr>
          <w:rFonts w:hint="eastAsia" w:ascii="Times New Roman" w:hAnsi="Times New Roman" w:eastAsia="方正仿宋_GBK" w:cs="方正仿宋_GBK"/>
          <w:color w:val="auto"/>
          <w:sz w:val="32"/>
          <w:szCs w:val="32"/>
        </w:rPr>
        <w:t>报告从整改工作部署推进情况、问题整改情况、未</w:t>
      </w:r>
      <w:r>
        <w:rPr>
          <w:rFonts w:hint="eastAsia" w:ascii="Times New Roman" w:hAnsi="Times New Roman" w:eastAsia="方正仿宋_GBK" w:cs="方正仿宋_GBK"/>
          <w:color w:val="auto"/>
          <w:sz w:val="32"/>
          <w:szCs w:val="32"/>
          <w:lang w:val="en-US" w:eastAsia="zh-CN"/>
        </w:rPr>
        <w:t>完成</w:t>
      </w:r>
      <w:r>
        <w:rPr>
          <w:rFonts w:hint="eastAsia" w:ascii="Times New Roman" w:hAnsi="Times New Roman" w:eastAsia="方正仿宋_GBK" w:cs="方正仿宋_GBK"/>
          <w:color w:val="auto"/>
          <w:sz w:val="32"/>
          <w:szCs w:val="32"/>
        </w:rPr>
        <w:t>整改</w:t>
      </w:r>
      <w:r>
        <w:rPr>
          <w:rFonts w:hint="eastAsia" w:ascii="Times New Roman" w:hAnsi="Times New Roman" w:eastAsia="方正仿宋_GBK" w:cs="方正仿宋_GBK"/>
          <w:color w:val="auto"/>
          <w:sz w:val="32"/>
          <w:szCs w:val="32"/>
          <w:lang w:val="en-US" w:eastAsia="zh-CN"/>
        </w:rPr>
        <w:t>问题情况</w:t>
      </w:r>
      <w:r>
        <w:rPr>
          <w:rFonts w:hint="eastAsia" w:ascii="Times New Roman" w:hAnsi="Times New Roman" w:eastAsia="方正仿宋_GBK" w:cs="方正仿宋_GBK"/>
          <w:color w:val="auto"/>
          <w:sz w:val="32"/>
          <w:szCs w:val="32"/>
        </w:rPr>
        <w:t>三个方面，全面反映了审计整改工作的部署推进情况和整改成效，对</w:t>
      </w:r>
      <w:r>
        <w:rPr>
          <w:rFonts w:hint="eastAsia" w:ascii="Times New Roman" w:hAnsi="Times New Roman" w:eastAsia="方正仿宋_GBK" w:cs="方正仿宋_GBK"/>
          <w:color w:val="auto"/>
          <w:sz w:val="32"/>
          <w:szCs w:val="32"/>
          <w:lang w:val="en-US" w:eastAsia="zh-CN"/>
        </w:rPr>
        <w:t>未完成整改</w:t>
      </w:r>
      <w:r>
        <w:rPr>
          <w:rFonts w:hint="eastAsia" w:ascii="Times New Roman" w:hAnsi="Times New Roman" w:eastAsia="方正仿宋_GBK" w:cs="方正仿宋_GBK"/>
          <w:color w:val="auto"/>
          <w:sz w:val="32"/>
          <w:szCs w:val="32"/>
        </w:rPr>
        <w:t>问题的原因进行了详细分析并明确了下一阶段整改举措</w:t>
      </w:r>
      <w:r>
        <w:rPr>
          <w:rFonts w:hint="eastAsia" w:ascii="Times New Roman" w:hAnsi="Times New Roman" w:eastAsia="方正仿宋_GBK" w:cs="方正仿宋_GBK"/>
          <w:color w:val="auto"/>
          <w:sz w:val="32"/>
          <w:szCs w:val="32"/>
          <w:lang w:val="en-US" w:eastAsia="zh-CN"/>
        </w:rPr>
        <w:t>和预计完成时限</w:t>
      </w:r>
      <w:r>
        <w:rPr>
          <w:rFonts w:hint="eastAsia" w:ascii="Times New Roman" w:hAnsi="Times New Roman" w:eastAsia="方正仿宋_GBK" w:cs="方正仿宋_GBK"/>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pPr>
      <w:r>
        <w:rPr>
          <w:rFonts w:hint="eastAsia" w:ascii="方正楷体_GBK" w:hAnsi="方正楷体_GBK" w:eastAsia="方正楷体_GBK" w:cs="方正楷体_GBK"/>
          <w:b w:val="0"/>
          <w:bCs w:val="0"/>
          <w:sz w:val="32"/>
          <w:szCs w:val="32"/>
          <w:highlight w:val="none"/>
          <w:lang w:val="en-US" w:eastAsia="zh-CN"/>
        </w:rPr>
        <w:t>一是高度重视，多渠道多方式</w:t>
      </w:r>
      <w:r>
        <w:rPr>
          <w:rFonts w:hint="eastAsia" w:ascii="方正楷体_GBK" w:hAnsi="方正楷体_GBK" w:eastAsia="方正楷体_GBK" w:cs="方正楷体_GBK"/>
          <w:b w:val="0"/>
          <w:bCs w:val="0"/>
          <w:color w:val="auto"/>
          <w:sz w:val="32"/>
          <w:szCs w:val="32"/>
          <w:highlight w:val="none"/>
          <w:lang w:val="en-US" w:eastAsia="zh-CN"/>
        </w:rPr>
        <w:t>推进全区审计整改工作。</w:t>
      </w:r>
      <w:r>
        <w:rPr>
          <w:rFonts w:hint="eastAsia" w:ascii="方正仿宋_GBK" w:hAnsi="方正仿宋_GBK" w:eastAsia="方正仿宋_GBK" w:cs="方正仿宋_GBK"/>
          <w:b w:val="0"/>
          <w:bCs/>
          <w:snapToGrid/>
          <w:color w:val="auto"/>
          <w:w w:val="100"/>
          <w:kern w:val="44"/>
          <w:sz w:val="32"/>
          <w:szCs w:val="32"/>
          <w:highlight w:val="none"/>
          <w:u w:val="none" w:color="auto"/>
          <w:shd w:val="clear" w:color="auto" w:fill="auto"/>
          <w:lang w:val="en-US" w:eastAsia="zh-CN"/>
        </w:rPr>
        <w:t>通过</w:t>
      </w:r>
      <w:r>
        <w:rPr>
          <w:rFonts w:hint="eastAsia" w:ascii="方正仿宋_GBK" w:hAnsi="方正仿宋_GBK" w:eastAsia="方正仿宋_GBK" w:cs="方正仿宋_GBK"/>
          <w:b w:val="0"/>
          <w:bCs/>
          <w:snapToGrid/>
          <w:color w:val="auto"/>
          <w:w w:val="100"/>
          <w:kern w:val="44"/>
          <w:sz w:val="32"/>
          <w:szCs w:val="32"/>
          <w:highlight w:val="none"/>
          <w:u w:val="none" w:color="auto"/>
          <w:shd w:val="clear" w:color="auto" w:fill="auto"/>
          <w:lang w:eastAsia="zh-CN"/>
        </w:rPr>
        <w:t>先后召开</w:t>
      </w:r>
      <w:r>
        <w:rPr>
          <w:rFonts w:hint="eastAsia" w:ascii="方正仿宋_GBK" w:hAnsi="方正仿宋_GBK" w:eastAsia="方正仿宋_GBK" w:cs="方正仿宋_GBK"/>
          <w:b w:val="0"/>
          <w:bCs/>
          <w:snapToGrid/>
          <w:color w:val="auto"/>
          <w:w w:val="100"/>
          <w:kern w:val="44"/>
          <w:sz w:val="32"/>
          <w:szCs w:val="32"/>
          <w:highlight w:val="none"/>
          <w:u w:val="none" w:color="auto"/>
          <w:shd w:val="clear" w:color="auto" w:fill="auto"/>
          <w:lang w:val="en-US" w:eastAsia="zh-CN"/>
        </w:rPr>
        <w:t>区</w:t>
      </w:r>
      <w:r>
        <w:rPr>
          <w:rFonts w:hint="eastAsia" w:ascii="方正仿宋_GBK" w:hAnsi="方正仿宋_GBK" w:eastAsia="方正仿宋_GBK" w:cs="方正仿宋_GBK"/>
          <w:b w:val="0"/>
          <w:bCs/>
          <w:snapToGrid/>
          <w:color w:val="auto"/>
          <w:w w:val="100"/>
          <w:kern w:val="44"/>
          <w:sz w:val="32"/>
          <w:szCs w:val="32"/>
          <w:highlight w:val="none"/>
          <w:u w:val="none" w:color="auto"/>
          <w:shd w:val="clear" w:color="auto" w:fill="auto"/>
          <w:lang w:eastAsia="zh-CN"/>
        </w:rPr>
        <w:t>委审计委员会会议、</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val="en-US" w:eastAsia="zh-CN"/>
        </w:rPr>
        <w:t>区政府常务会议、区</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审计执法联席会议</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val="en-US" w:eastAsia="zh-CN"/>
        </w:rPr>
        <w:t>贯彻落实习近平总书记关于审计整改工作的重要讲话和重要指示批示精神</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，专题听取审计工作情况汇报，研究部署审计整改工作。</w:t>
      </w:r>
      <w:r>
        <w:rPr>
          <w:rFonts w:hint="eastAsia" w:ascii="Times New Roman" w:hAnsi="Times New Roman" w:eastAsia="方正仿宋_GBK" w:cs="黑体"/>
          <w:bCs/>
          <w:color w:val="auto"/>
          <w:kern w:val="44"/>
          <w:sz w:val="32"/>
          <w:szCs w:val="32"/>
          <w:highlight w:val="none"/>
          <w:u w:val="none" w:color="auto"/>
          <w:shd w:val="clear" w:color="auto" w:fill="auto"/>
          <w:lang w:val="en-US" w:eastAsia="zh-CN"/>
        </w:rPr>
        <w:t>区</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委、</w:t>
      </w:r>
      <w:r>
        <w:rPr>
          <w:rFonts w:hint="eastAsia" w:ascii="Times New Roman" w:hAnsi="Times New Roman" w:eastAsia="方正仿宋_GBK" w:cs="黑体"/>
          <w:bCs/>
          <w:color w:val="auto"/>
          <w:kern w:val="44"/>
          <w:sz w:val="32"/>
          <w:szCs w:val="32"/>
          <w:highlight w:val="none"/>
          <w:u w:val="none" w:color="auto"/>
          <w:shd w:val="clear" w:color="auto" w:fill="auto"/>
          <w:lang w:val="en-US" w:eastAsia="zh-CN"/>
        </w:rPr>
        <w:t>区</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政府</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val="en-US" w:eastAsia="zh-CN"/>
        </w:rPr>
        <w:t>主要</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领导</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val="en-US" w:eastAsia="zh-CN"/>
        </w:rPr>
        <w:t>和有关分管领导坚持</w:t>
      </w:r>
      <w:r>
        <w:rPr>
          <w:rFonts w:hint="eastAsia" w:ascii="Times New Roman" w:hAnsi="Times New Roman" w:eastAsia="方正仿宋_GBK" w:cs="黑体"/>
          <w:b w:val="0"/>
          <w:bCs/>
          <w:snapToGrid/>
          <w:color w:val="auto"/>
          <w:w w:val="100"/>
          <w:kern w:val="44"/>
          <w:sz w:val="32"/>
          <w:szCs w:val="32"/>
          <w:highlight w:val="none"/>
          <w:u w:val="none" w:color="auto"/>
          <w:shd w:val="clear" w:color="auto" w:fill="auto"/>
          <w:lang w:eastAsia="zh-CN"/>
        </w:rPr>
        <w:t>把落实审计整改作为规范管理、促进改革的有力抓手，以更大力度推动问题解决，努力实现审计整改成果向政府治理效能高质量转化。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80" w:lineRule="exact"/>
        <w:ind w:firstLine="640" w:firstLineChars="200"/>
        <w:textAlignment w:val="auto"/>
        <w:rPr>
          <w:rFonts w:hint="eastAsia" w:eastAsia="方正仿宋_GBK"/>
          <w:lang w:val="en-US" w:eastAsia="zh-CN"/>
        </w:rPr>
      </w:pPr>
      <w:r>
        <w:rPr>
          <w:rFonts w:hint="eastAsia" w:ascii="方正楷体_GBK" w:hAnsi="方正楷体_GBK" w:eastAsia="方正楷体_GBK" w:cs="方正楷体_GBK"/>
          <w:b w:val="0"/>
          <w:bCs w:val="0"/>
          <w:sz w:val="32"/>
          <w:szCs w:val="32"/>
          <w:highlight w:val="none"/>
          <w:lang w:val="en-US" w:eastAsia="zh-CN"/>
        </w:rPr>
        <w:t>二是压实责任，推动审计整改工作取得阶段性成果</w:t>
      </w:r>
      <w:r>
        <w:rPr>
          <w:rFonts w:hint="eastAsia"/>
          <w:lang w:eastAsia="zh-CN"/>
        </w:rPr>
        <w:t>。</w:t>
      </w:r>
      <w:r>
        <w:rPr>
          <w:rFonts w:hint="eastAsia" w:ascii="Times New Roman" w:hAnsi="Times New Roman" w:eastAsia="方正仿宋_GBK" w:cs="方正仿宋_GBK"/>
          <w:sz w:val="32"/>
          <w:szCs w:val="32"/>
          <w:lang w:val="en-US" w:eastAsia="zh-CN"/>
        </w:rPr>
        <w:t>各镇（街）、区各部门（单位）对于审计发现问题照单认领，</w:t>
      </w:r>
      <w:r>
        <w:rPr>
          <w:rFonts w:hint="eastAsia" w:ascii="Times New Roman" w:hAnsi="Times New Roman" w:eastAsia="方正仿宋_GBK" w:cs="方正仿宋_GBK"/>
          <w:color w:val="auto"/>
          <w:sz w:val="32"/>
          <w:szCs w:val="32"/>
          <w:highlight w:val="none"/>
          <w:lang w:val="en-US" w:eastAsia="zh-CN"/>
        </w:rPr>
        <w:t>建立健全制度机制，</w:t>
      </w:r>
      <w:r>
        <w:rPr>
          <w:rFonts w:hint="eastAsia" w:ascii="Times New Roman" w:hAnsi="Times New Roman" w:eastAsia="方正仿宋_GBK" w:cs="方正仿宋_GBK"/>
          <w:b w:val="0"/>
          <w:kern w:val="2"/>
          <w:sz w:val="32"/>
          <w:szCs w:val="32"/>
          <w:lang w:val="en-US" w:eastAsia="zh-CN" w:bidi="ar-SA"/>
        </w:rPr>
        <w:t>主要领导落实整改工作第一责任人责任，细化整改措施，按照分类实施的原则，找准病灶、精准施策，推动</w:t>
      </w:r>
      <w:r>
        <w:rPr>
          <w:rFonts w:hint="eastAsia" w:ascii="Times New Roman" w:hAnsi="Times New Roman" w:eastAsia="方正仿宋_GBK" w:cs="方正仿宋_GBK"/>
          <w:sz w:val="32"/>
          <w:szCs w:val="32"/>
          <w:lang w:val="en-US" w:eastAsia="zh-CN"/>
        </w:rPr>
        <w:t>审计发现问题真改、实改、彻改</w:t>
      </w:r>
      <w:r>
        <w:rPr>
          <w:rFonts w:hint="eastAsia" w:ascii="Times New Roman" w:hAnsi="Times New Roman" w:eastAsia="方正仿宋_GBK" w:cs="方正仿宋_GBK"/>
          <w:color w:val="auto"/>
          <w:sz w:val="32"/>
          <w:szCs w:val="32"/>
          <w:highlight w:val="none"/>
          <w:lang w:val="en-US" w:eastAsia="zh-CN"/>
        </w:rPr>
        <w:t>。</w:t>
      </w:r>
      <w:r>
        <w:rPr>
          <w:rFonts w:ascii="仿宋" w:hAnsi="仿宋" w:eastAsia="方正仿宋_GBK"/>
          <w:snapToGrid w:val="0"/>
          <w:color w:val="auto"/>
          <w:spacing w:val="6"/>
          <w:kern w:val="0"/>
          <w:sz w:val="32"/>
          <w:highlight w:val="none"/>
        </w:rPr>
        <w:t>截至2024年11月30日，《关于惠阳区2023年度区级预算执行和其他财政收支的审计工作报告》指出的10</w:t>
      </w:r>
      <w:r>
        <w:rPr>
          <w:rFonts w:hint="eastAsia" w:ascii="仿宋" w:hAnsi="仿宋" w:eastAsia="方正仿宋_GBK"/>
          <w:snapToGrid w:val="0"/>
          <w:color w:val="auto"/>
          <w:spacing w:val="6"/>
          <w:kern w:val="0"/>
          <w:sz w:val="32"/>
          <w:highlight w:val="none"/>
          <w:lang w:val="en-US" w:eastAsia="zh-CN"/>
        </w:rPr>
        <w:t>5</w:t>
      </w:r>
      <w:r>
        <w:rPr>
          <w:rFonts w:ascii="仿宋" w:hAnsi="仿宋" w:eastAsia="方正仿宋_GBK"/>
          <w:snapToGrid w:val="0"/>
          <w:color w:val="auto"/>
          <w:spacing w:val="6"/>
          <w:kern w:val="0"/>
          <w:sz w:val="32"/>
          <w:highlight w:val="none"/>
        </w:rPr>
        <w:t>个问题</w:t>
      </w:r>
      <w:r>
        <w:rPr>
          <w:rFonts w:hint="eastAsia" w:ascii="仿宋" w:hAnsi="仿宋" w:eastAsia="方正仿宋_GBK"/>
          <w:snapToGrid w:val="0"/>
          <w:color w:val="auto"/>
          <w:spacing w:val="6"/>
          <w:kern w:val="0"/>
          <w:sz w:val="32"/>
          <w:highlight w:val="none"/>
        </w:rPr>
        <w:t>中，立行立改的93个问题已完成整改69个，分阶段整改的12个问题已完成整改6个</w:t>
      </w:r>
      <w:r>
        <w:rPr>
          <w:rFonts w:hint="eastAsia" w:ascii="仿宋" w:hAnsi="仿宋" w:eastAsia="方正仿宋_GBK"/>
          <w:snapToGrid w:val="0"/>
          <w:color w:val="auto"/>
          <w:spacing w:val="6"/>
          <w:kern w:val="0"/>
          <w:sz w:val="32"/>
          <w:highlight w:val="none"/>
          <w:lang w:eastAsia="zh-CN"/>
        </w:rPr>
        <w:t>，</w:t>
      </w:r>
      <w:r>
        <w:rPr>
          <w:rFonts w:hint="eastAsia" w:ascii="仿宋" w:hAnsi="仿宋" w:eastAsia="方正仿宋_GBK"/>
          <w:snapToGrid w:val="0"/>
          <w:color w:val="auto"/>
          <w:spacing w:val="6"/>
          <w:kern w:val="0"/>
          <w:sz w:val="32"/>
          <w:highlight w:val="none"/>
          <w:lang w:val="en-US" w:eastAsia="zh-CN"/>
        </w:rPr>
        <w:t>其中</w:t>
      </w:r>
      <w:r>
        <w:rPr>
          <w:rFonts w:hint="eastAsia" w:ascii="仿宋" w:hAnsi="仿宋" w:eastAsia="方正仿宋_GBK" w:cs="仿宋"/>
          <w:b w:val="0"/>
          <w:bCs w:val="0"/>
          <w:color w:val="auto"/>
          <w:spacing w:val="0"/>
          <w:kern w:val="0"/>
          <w:sz w:val="32"/>
          <w:szCs w:val="32"/>
          <w:highlight w:val="none"/>
          <w:lang w:val="en-US" w:eastAsia="zh-CN"/>
        </w:rPr>
        <w:t>重点民生项目专项资金使用情况审计查出问题</w:t>
      </w:r>
      <w:r>
        <w:rPr>
          <w:rFonts w:hint="eastAsia" w:ascii="仿宋" w:hAnsi="仿宋" w:eastAsia="方正仿宋_GBK"/>
          <w:snapToGrid w:val="0"/>
          <w:color w:val="auto"/>
          <w:spacing w:val="6"/>
          <w:kern w:val="0"/>
          <w:sz w:val="32"/>
          <w:highlight w:val="none"/>
          <w:lang w:val="en-US" w:eastAsia="zh-CN"/>
        </w:rPr>
        <w:t>已全部整改完毕。</w:t>
      </w:r>
      <w:r>
        <w:rPr>
          <w:rFonts w:hint="eastAsia" w:ascii="仿宋" w:hAnsi="仿宋" w:eastAsia="方正仿宋_GBK"/>
          <w:snapToGrid w:val="0"/>
          <w:spacing w:val="6"/>
          <w:kern w:val="0"/>
          <w:sz w:val="32"/>
        </w:rPr>
        <w:t>202</w:t>
      </w:r>
      <w:r>
        <w:rPr>
          <w:rFonts w:hint="eastAsia" w:ascii="仿宋" w:hAnsi="仿宋" w:eastAsia="方正仿宋_GBK"/>
          <w:snapToGrid w:val="0"/>
          <w:spacing w:val="6"/>
          <w:kern w:val="0"/>
          <w:sz w:val="32"/>
          <w:lang w:val="en-US" w:eastAsia="zh-CN"/>
        </w:rPr>
        <w:t>4</w:t>
      </w:r>
      <w:r>
        <w:rPr>
          <w:rFonts w:hint="eastAsia" w:ascii="仿宋" w:hAnsi="仿宋" w:eastAsia="方正仿宋_GBK"/>
          <w:snapToGrid w:val="0"/>
          <w:spacing w:val="6"/>
          <w:kern w:val="0"/>
          <w:sz w:val="32"/>
        </w:rPr>
        <w:t>年，通过审计整改金额</w:t>
      </w:r>
      <w:r>
        <w:rPr>
          <w:rFonts w:hint="eastAsia" w:ascii="仿宋" w:hAnsi="仿宋" w:eastAsia="方正仿宋_GBK"/>
          <w:snapToGrid w:val="0"/>
          <w:color w:val="auto"/>
          <w:spacing w:val="6"/>
          <w:kern w:val="0"/>
          <w:sz w:val="32"/>
          <w:highlight w:val="none"/>
          <w:lang w:eastAsia="zh-CN"/>
        </w:rPr>
        <w:t>8</w:t>
      </w:r>
      <w:r>
        <w:rPr>
          <w:rFonts w:hint="eastAsia" w:ascii="仿宋" w:hAnsi="仿宋" w:eastAsia="方正仿宋_GBK"/>
          <w:snapToGrid w:val="0"/>
          <w:color w:val="auto"/>
          <w:spacing w:val="6"/>
          <w:kern w:val="0"/>
          <w:sz w:val="32"/>
          <w:highlight w:val="none"/>
          <w:lang w:val="en-US" w:eastAsia="zh-CN"/>
        </w:rPr>
        <w:t>,298.84</w:t>
      </w:r>
      <w:r>
        <w:rPr>
          <w:rFonts w:hint="eastAsia" w:ascii="仿宋" w:hAnsi="仿宋" w:eastAsia="方正仿宋_GBK"/>
          <w:snapToGrid w:val="0"/>
          <w:spacing w:val="6"/>
          <w:kern w:val="0"/>
          <w:sz w:val="32"/>
        </w:rPr>
        <w:t>万元</w:t>
      </w:r>
      <w:r>
        <w:rPr>
          <w:rFonts w:hint="eastAsia" w:ascii="仿宋" w:hAnsi="仿宋" w:eastAsia="方正仿宋_GBK"/>
          <w:snapToGrid w:val="0"/>
          <w:spacing w:val="6"/>
          <w:kern w:val="0"/>
          <w:sz w:val="32"/>
          <w:lang w:eastAsia="zh-CN"/>
        </w:rPr>
        <w:t>，</w:t>
      </w:r>
      <w:r>
        <w:rPr>
          <w:rFonts w:hint="eastAsia" w:ascii="仿宋" w:hAnsi="仿宋" w:eastAsia="方正仿宋_GBK"/>
          <w:snapToGrid w:val="0"/>
          <w:spacing w:val="6"/>
          <w:kern w:val="0"/>
          <w:sz w:val="32"/>
        </w:rPr>
        <w:t>建立健全制度机制</w:t>
      </w:r>
      <w:r>
        <w:rPr>
          <w:rFonts w:hint="eastAsia" w:ascii="仿宋" w:hAnsi="仿宋" w:eastAsia="方正仿宋_GBK"/>
          <w:snapToGrid w:val="0"/>
          <w:spacing w:val="6"/>
          <w:kern w:val="0"/>
          <w:sz w:val="32"/>
          <w:lang w:val="en-US" w:eastAsia="zh-CN"/>
        </w:rPr>
        <w:t>18</w:t>
      </w:r>
      <w:r>
        <w:rPr>
          <w:rFonts w:hint="eastAsia" w:ascii="仿宋" w:hAnsi="仿宋" w:eastAsia="方正仿宋_GBK"/>
          <w:snapToGrid w:val="0"/>
          <w:spacing w:val="6"/>
          <w:kern w:val="0"/>
          <w:sz w:val="32"/>
        </w:rPr>
        <w:t>项</w:t>
      </w:r>
      <w:r>
        <w:rPr>
          <w:rFonts w:hint="eastAsia" w:ascii="仿宋" w:hAnsi="仿宋" w:eastAsia="方正仿宋_GBK"/>
          <w:snapToGrid w:val="0"/>
          <w:spacing w:val="6"/>
          <w:kern w:val="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sz w:val="32"/>
          <w:szCs w:val="32"/>
          <w:highlight w:val="none"/>
          <w:lang w:val="en-US" w:eastAsia="zh-CN"/>
        </w:rPr>
        <w:t>三是强化督促检查，分析问题未整改到位原因，促进长效管理。</w:t>
      </w:r>
      <w:r>
        <w:rPr>
          <w:rFonts w:hint="eastAsia" w:ascii="仿宋" w:hAnsi="仿宋" w:eastAsia="方正仿宋_GBK"/>
          <w:snapToGrid w:val="0"/>
          <w:color w:val="auto"/>
          <w:spacing w:val="6"/>
          <w:kern w:val="0"/>
          <w:sz w:val="32"/>
          <w:highlight w:val="none"/>
          <w:lang w:val="en-US" w:eastAsia="zh-CN"/>
        </w:rPr>
        <w:t>仍未完成整改的30个问题，未完成整改的主要原因是有些问题正在履行法定工作程序或审批流程</w:t>
      </w:r>
      <w:bookmarkStart w:id="0" w:name="_GoBack"/>
      <w:bookmarkEnd w:id="0"/>
      <w:r>
        <w:rPr>
          <w:rFonts w:hint="eastAsia" w:ascii="仿宋" w:hAnsi="仿宋" w:eastAsia="方正仿宋_GBK"/>
          <w:snapToGrid w:val="0"/>
          <w:color w:val="auto"/>
          <w:spacing w:val="6"/>
          <w:kern w:val="0"/>
          <w:sz w:val="32"/>
          <w:highlight w:val="none"/>
          <w:lang w:val="en-US" w:eastAsia="zh-CN"/>
        </w:rPr>
        <w:t>，难以在短期内完成整改；有些问题需结合建设项目的实施推进方能逐步整改到位；还有些属于管理和执行层面的问题，需进一步细化措施、完善制度、加强管理。区审计局将</w:t>
      </w:r>
      <w:r>
        <w:rPr>
          <w:rFonts w:hint="eastAsia" w:ascii="Times New Roman" w:hAnsi="Times New Roman" w:eastAsia="方正仿宋_GBK" w:cs="方正仿宋_GBK"/>
          <w:b w:val="0"/>
          <w:bCs w:val="0"/>
          <w:color w:val="auto"/>
          <w:sz w:val="32"/>
          <w:szCs w:val="32"/>
          <w:highlight w:val="none"/>
          <w:lang w:val="en-US" w:eastAsia="zh-CN"/>
        </w:rPr>
        <w:t>强化审计整改全链</w:t>
      </w:r>
      <w:r>
        <w:rPr>
          <w:rFonts w:hint="eastAsia" w:ascii="Times New Roman" w:hAnsi="Times New Roman" w:eastAsia="方正仿宋_GBK" w:cs="方正仿宋_GBK"/>
          <w:color w:val="auto"/>
          <w:sz w:val="32"/>
          <w:szCs w:val="32"/>
          <w:highlight w:val="none"/>
          <w:lang w:val="en-US" w:eastAsia="zh-CN"/>
        </w:rPr>
        <w:t>条、全过程监督管理，突出对重点问题审计整改的跟踪督办，推进解决影响高质量发展和经济社会稳定的体制机制问题，进一步做深、做透审计整改“下半篇文章”。同时，</w:t>
      </w:r>
      <w:r>
        <w:rPr>
          <w:rFonts w:hint="eastAsia" w:ascii="Times New Roman" w:hAnsi="Times New Roman" w:eastAsia="方正仿宋_GBK" w:cs="方正仿宋_GBK"/>
          <w:b w:val="0"/>
          <w:bCs w:val="0"/>
          <w:sz w:val="32"/>
          <w:szCs w:val="32"/>
          <w:highlight w:val="none"/>
          <w:lang w:val="en-US" w:eastAsia="zh-CN"/>
        </w:rPr>
        <w:t>加强审计结果运用，强化“人大+审计”的监督合力，突出源头治理和长效治理，坚持“当下改”与“长久立”相结合，补齐体制机制短板，不断提高审计监督质效，以高质量审计监督护航经济社会高质量发展。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spacing w:val="0"/>
          <w:sz w:val="44"/>
          <w:szCs w:val="44"/>
          <w:shd w:val="clear"/>
          <w:lang w:val="en-US" w:eastAsia="zh-CN"/>
        </w:rPr>
      </w:pPr>
    </w:p>
    <w:sectPr>
      <w:footerReference r:id="rId3"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A53F8"/>
    <w:rsid w:val="073208D5"/>
    <w:rsid w:val="44BE172B"/>
    <w:rsid w:val="52793F04"/>
    <w:rsid w:val="53001738"/>
    <w:rsid w:val="660F4C61"/>
    <w:rsid w:val="677A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val="0"/>
      <w:spacing w:before="50" w:beforeLines="50" w:after="50" w:afterLines="50" w:line="240" w:lineRule="auto"/>
      <w:jc w:val="left"/>
      <w:outlineLvl w:val="2"/>
    </w:pPr>
    <w:rPr>
      <w:rFonts w:ascii="Calibri" w:hAnsi="Calibri" w:eastAsia="宋体" w:cs="Times New Roman"/>
      <w:b/>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footnote text"/>
    <w:basedOn w:val="1"/>
    <w:next w:val="8"/>
    <w:qFormat/>
    <w:uiPriority w:val="0"/>
    <w:pPr>
      <w:snapToGrid w:val="0"/>
      <w:jc w:val="left"/>
    </w:pPr>
    <w:rPr>
      <w:rFonts w:ascii="Calibri" w:hAnsi="Calibri" w:eastAsia="宋体" w:cs="Times New Roman"/>
      <w:sz w:val="18"/>
    </w:rPr>
  </w:style>
  <w:style w:type="paragraph" w:styleId="8">
    <w:name w:val="Body Text First Indent 2"/>
    <w:basedOn w:val="4"/>
    <w:next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2025-03-17T03:02:00Z</dcterms:created>
  <dc:creator>张嘉桐</dc:creator>
  <cp:lastModifiedBy>ml</cp:lastModifiedBy>
  <dcterms:modified xsi:type="dcterms:W3CDTF">2025-03-18T00:38:17Z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