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4E90">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 w:hAnsi="仿宋" w:eastAsia="方正小标宋_GBK" w:cs="Times New Roman"/>
          <w:b w:val="0"/>
          <w:bCs w:val="0"/>
          <w:color w:val="000000"/>
          <w:sz w:val="44"/>
          <w:szCs w:val="44"/>
          <w:highlight w:val="none"/>
        </w:rPr>
      </w:pPr>
      <w:r>
        <w:rPr>
          <w:rFonts w:hint="default" w:ascii="仿宋" w:hAnsi="仿宋" w:eastAsia="方正小标宋_GBK" w:cs="Times New Roman"/>
          <w:b w:val="0"/>
          <w:bCs w:val="0"/>
          <w:color w:val="000000"/>
          <w:sz w:val="44"/>
          <w:szCs w:val="44"/>
          <w:highlight w:val="none"/>
        </w:rPr>
        <w:t>惠阳区</w:t>
      </w:r>
      <w:r>
        <w:rPr>
          <w:rFonts w:hint="default" w:ascii="仿宋" w:hAnsi="仿宋" w:eastAsia="方正小标宋_GBK" w:cs="Times New Roman"/>
          <w:b w:val="0"/>
          <w:bCs w:val="0"/>
          <w:color w:val="000000"/>
          <w:sz w:val="44"/>
          <w:szCs w:val="44"/>
          <w:highlight w:val="none"/>
          <w:lang w:val="en-US" w:eastAsia="zh-CN"/>
        </w:rPr>
        <w:t>鼓励</w:t>
      </w:r>
      <w:r>
        <w:rPr>
          <w:rFonts w:hint="default" w:ascii="仿宋" w:hAnsi="仿宋" w:eastAsia="方正小标宋_GBK" w:cs="Times New Roman"/>
          <w:b w:val="0"/>
          <w:bCs w:val="0"/>
          <w:color w:val="000000"/>
          <w:sz w:val="44"/>
          <w:szCs w:val="44"/>
          <w:highlight w:val="none"/>
        </w:rPr>
        <w:t>电子商务高质量发展若干措施</w:t>
      </w:r>
    </w:p>
    <w:p w14:paraId="26191608">
      <w:pPr>
        <w:keepNext/>
        <w:keepLines/>
        <w:pageBreakBefore w:val="0"/>
        <w:widowControl w:val="0"/>
        <w:kinsoku/>
        <w:wordWrap/>
        <w:overflowPunct/>
        <w:topLinePunct w:val="0"/>
        <w:autoSpaceDE/>
        <w:autoSpaceDN/>
        <w:bidi w:val="0"/>
        <w:adjustRightInd/>
        <w:snapToGrid/>
        <w:spacing w:line="580" w:lineRule="exact"/>
        <w:jc w:val="center"/>
        <w:textAlignment w:val="auto"/>
        <w:outlineLvl w:val="2"/>
        <w:rPr>
          <w:rFonts w:hint="default" w:ascii="仿宋" w:hAnsi="仿宋" w:eastAsia="方正楷体_GBK" w:cs="Times New Roman"/>
          <w:b w:val="0"/>
          <w:bCs w:val="0"/>
          <w:color w:val="000000"/>
          <w:sz w:val="32"/>
          <w:szCs w:val="32"/>
          <w:highlight w:val="none"/>
          <w:lang w:val="en-US" w:eastAsia="zh-CN"/>
        </w:rPr>
      </w:pPr>
      <w:r>
        <w:rPr>
          <w:rFonts w:hint="default" w:ascii="仿宋" w:hAnsi="仿宋" w:eastAsia="方正楷体_GBK" w:cs="Times New Roman"/>
          <w:b w:val="0"/>
          <w:bCs w:val="0"/>
          <w:color w:val="000000"/>
          <w:sz w:val="32"/>
          <w:szCs w:val="32"/>
          <w:highlight w:val="none"/>
          <w:lang w:val="en-US" w:eastAsia="zh-CN"/>
        </w:rPr>
        <w:t>（征求意见稿）</w:t>
      </w:r>
    </w:p>
    <w:p w14:paraId="2011F82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 w:hAnsi="仿宋" w:eastAsia="方正仿宋_GBK" w:cs="Times New Roman"/>
          <w:color w:val="000000"/>
          <w:sz w:val="32"/>
          <w:szCs w:val="32"/>
          <w:highlight w:val="none"/>
          <w:lang w:val="en-US" w:eastAsia="zh-CN"/>
        </w:rPr>
      </w:pPr>
    </w:p>
    <w:p w14:paraId="0BA8356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outlineLvl w:val="9"/>
        <w:rPr>
          <w:rFonts w:hint="default" w:ascii="仿宋" w:hAnsi="仿宋" w:eastAsia="方正仿宋_GBK" w:cs="Times New Roman"/>
          <w:color w:val="auto"/>
          <w:sz w:val="32"/>
          <w:szCs w:val="32"/>
          <w:highlight w:val="none"/>
        </w:rPr>
      </w:pPr>
      <w:r>
        <w:rPr>
          <w:rFonts w:hint="default" w:ascii="仿宋" w:hAnsi="仿宋" w:eastAsia="方正仿宋_GBK" w:cs="Times New Roman"/>
          <w:color w:val="auto"/>
          <w:sz w:val="32"/>
          <w:szCs w:val="32"/>
          <w:highlight w:val="none"/>
        </w:rPr>
        <w:t>为深入贯彻</w:t>
      </w:r>
      <w:r>
        <w:rPr>
          <w:rFonts w:hint="default" w:ascii="仿宋" w:hAnsi="仿宋" w:eastAsia="方正仿宋_GBK" w:cs="Times New Roman"/>
          <w:color w:val="auto"/>
          <w:sz w:val="32"/>
          <w:szCs w:val="32"/>
          <w:highlight w:val="none"/>
          <w:lang w:val="en-US" w:eastAsia="zh-CN"/>
        </w:rPr>
        <w:t>落实</w:t>
      </w:r>
      <w:r>
        <w:rPr>
          <w:rFonts w:hint="default" w:ascii="仿宋" w:hAnsi="仿宋" w:eastAsia="方正仿宋_GBK" w:cs="Times New Roman"/>
          <w:color w:val="auto"/>
          <w:sz w:val="32"/>
          <w:szCs w:val="32"/>
          <w:highlight w:val="none"/>
        </w:rPr>
        <w:t>党的二十届三中全会精神</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按照商务部及广东省</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lang w:val="en-US" w:eastAsia="zh-CN"/>
        </w:rPr>
        <w:t>惠州市</w:t>
      </w:r>
      <w:r>
        <w:rPr>
          <w:rFonts w:hint="default" w:ascii="仿宋" w:hAnsi="仿宋" w:eastAsia="方正仿宋_GBK" w:cs="Times New Roman"/>
          <w:color w:val="auto"/>
          <w:sz w:val="32"/>
          <w:szCs w:val="32"/>
          <w:highlight w:val="none"/>
        </w:rPr>
        <w:t>关于推动电子商务高质量发展的有关部署</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充分发挥电子商务对经济发展的促进作用，推动电子商务和实体经济更好地融合发展，提升</w:t>
      </w:r>
      <w:bookmarkStart w:id="0" w:name="_GoBack"/>
      <w:bookmarkEnd w:id="0"/>
      <w:r>
        <w:rPr>
          <w:rFonts w:hint="default" w:ascii="仿宋" w:hAnsi="仿宋" w:eastAsia="方正仿宋_GBK" w:cs="Times New Roman"/>
          <w:color w:val="auto"/>
          <w:sz w:val="32"/>
          <w:szCs w:val="32"/>
          <w:highlight w:val="none"/>
        </w:rPr>
        <w:t>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电子商务发展的核心竞争力</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结合我</w:t>
      </w:r>
      <w:r>
        <w:rPr>
          <w:rFonts w:hint="default" w:ascii="仿宋" w:hAnsi="仿宋" w:eastAsia="方正仿宋_GBK" w:cs="Times New Roman"/>
          <w:color w:val="auto"/>
          <w:sz w:val="32"/>
          <w:szCs w:val="32"/>
          <w:highlight w:val="none"/>
          <w:lang w:val="en-US" w:eastAsia="zh-CN"/>
        </w:rPr>
        <w:t>区</w:t>
      </w:r>
      <w:r>
        <w:rPr>
          <w:rFonts w:hint="default" w:ascii="仿宋" w:hAnsi="仿宋" w:eastAsia="方正仿宋_GBK" w:cs="Times New Roman"/>
          <w:color w:val="auto"/>
          <w:sz w:val="32"/>
          <w:szCs w:val="32"/>
          <w:highlight w:val="none"/>
        </w:rPr>
        <w:t>实际，制定如下措施。</w:t>
      </w:r>
    </w:p>
    <w:p w14:paraId="638D0E4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00" w:firstLineChars="200"/>
        <w:jc w:val="both"/>
        <w:textAlignment w:val="auto"/>
        <w:rPr>
          <w:rFonts w:hint="default" w:ascii="仿宋" w:hAnsi="仿宋" w:eastAsia="方正黑体_GBK" w:cs="Times New Roman"/>
          <w:b w:val="0"/>
          <w:bCs w:val="0"/>
          <w:color w:val="000000"/>
          <w:kern w:val="2"/>
          <w:sz w:val="30"/>
          <w:szCs w:val="30"/>
          <w:highlight w:val="none"/>
          <w:lang w:val="en-US" w:eastAsia="zh-CN" w:bidi="ar-SA"/>
        </w:rPr>
      </w:pPr>
      <w:r>
        <w:rPr>
          <w:rFonts w:hint="default" w:ascii="仿宋" w:hAnsi="仿宋" w:eastAsia="方正黑体_GBK" w:cs="Times New Roman"/>
          <w:color w:val="000000"/>
          <w:sz w:val="30"/>
          <w:szCs w:val="30"/>
          <w:highlight w:val="none"/>
          <w:lang w:val="en-US" w:eastAsia="zh-CN"/>
        </w:rPr>
        <w:t>一、</w:t>
      </w:r>
      <w:r>
        <w:rPr>
          <w:rFonts w:hint="default" w:ascii="仿宋" w:hAnsi="仿宋" w:eastAsia="方正黑体_GBK" w:cs="Times New Roman"/>
          <w:b w:val="0"/>
          <w:bCs w:val="0"/>
          <w:color w:val="000000"/>
          <w:kern w:val="2"/>
          <w:sz w:val="30"/>
          <w:szCs w:val="30"/>
          <w:highlight w:val="none"/>
          <w:lang w:val="en-US" w:eastAsia="zh-CN" w:bidi="ar-SA"/>
        </w:rPr>
        <w:t>支持电子商务应用推广</w:t>
      </w:r>
    </w:p>
    <w:p w14:paraId="4D304406">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方正仿宋_GBK" w:cs="Times New Roman"/>
          <w:b w:val="0"/>
          <w:bCs w:val="0"/>
          <w:color w:val="auto"/>
          <w:spacing w:val="0"/>
          <w:sz w:val="32"/>
          <w:szCs w:val="32"/>
          <w:highlight w:val="none"/>
          <w:u w:val="none"/>
          <w:lang w:eastAsia="zh-CN"/>
        </w:rPr>
      </w:pPr>
      <w:r>
        <w:rPr>
          <w:rFonts w:hint="default" w:ascii="仿宋" w:hAnsi="仿宋" w:eastAsia="方正仿宋_GBK" w:cs="Times New Roman"/>
          <w:b w:val="0"/>
          <w:bCs w:val="0"/>
          <w:color w:val="auto"/>
          <w:spacing w:val="0"/>
          <w:sz w:val="30"/>
          <w:szCs w:val="30"/>
          <w:highlight w:val="none"/>
          <w:u w:val="none"/>
          <w:lang w:val="en-US" w:eastAsia="zh-CN"/>
        </w:rPr>
        <w:t>（一）</w:t>
      </w:r>
      <w:r>
        <w:rPr>
          <w:rFonts w:hint="default" w:ascii="仿宋" w:hAnsi="仿宋" w:eastAsia="方正仿宋_GBK" w:cs="Times New Roman"/>
          <w:b w:val="0"/>
          <w:bCs w:val="0"/>
          <w:color w:val="auto"/>
          <w:sz w:val="30"/>
          <w:szCs w:val="30"/>
          <w:highlight w:val="none"/>
        </w:rPr>
        <w:t>对</w:t>
      </w:r>
      <w:r>
        <w:rPr>
          <w:rFonts w:hint="default" w:ascii="仿宋" w:hAnsi="仿宋" w:eastAsia="方正仿宋_GBK" w:cs="Times New Roman"/>
          <w:b w:val="0"/>
          <w:bCs w:val="0"/>
          <w:color w:val="auto"/>
          <w:spacing w:val="0"/>
          <w:sz w:val="30"/>
          <w:szCs w:val="30"/>
          <w:highlight w:val="none"/>
          <w:u w:val="none"/>
          <w:lang w:eastAsia="zh-CN"/>
        </w:rPr>
        <w:t>线上</w:t>
      </w:r>
      <w:r>
        <w:rPr>
          <w:rFonts w:hint="default" w:ascii="仿宋" w:hAnsi="仿宋" w:eastAsia="方正仿宋_GBK" w:cs="Times New Roman"/>
          <w:b w:val="0"/>
          <w:bCs w:val="0"/>
          <w:color w:val="auto"/>
          <w:sz w:val="30"/>
          <w:szCs w:val="30"/>
          <w:highlight w:val="none"/>
        </w:rPr>
        <w:t>年</w:t>
      </w:r>
      <w:r>
        <w:rPr>
          <w:rFonts w:hint="default" w:ascii="仿宋" w:hAnsi="仿宋" w:eastAsia="方正仿宋_GBK" w:cs="Times New Roman"/>
          <w:b w:val="0"/>
          <w:bCs w:val="0"/>
          <w:color w:val="auto"/>
          <w:spacing w:val="0"/>
          <w:sz w:val="30"/>
          <w:szCs w:val="30"/>
          <w:highlight w:val="none"/>
          <w:u w:val="none"/>
          <w:lang w:eastAsia="zh-CN"/>
        </w:rPr>
        <w:t>交易额达到</w:t>
      </w:r>
      <w:r>
        <w:rPr>
          <w:rFonts w:hint="default" w:ascii="仿宋" w:hAnsi="仿宋" w:eastAsia="方正仿宋_GBK" w:cs="Times New Roman"/>
          <w:b w:val="0"/>
          <w:bCs w:val="0"/>
          <w:color w:val="auto"/>
          <w:spacing w:val="0"/>
          <w:sz w:val="30"/>
          <w:szCs w:val="30"/>
          <w:highlight w:val="none"/>
          <w:u w:val="none"/>
          <w:lang w:val="en-US" w:eastAsia="zh-CN"/>
        </w:rPr>
        <w:t>1000万元（含）以上或</w:t>
      </w:r>
      <w:r>
        <w:rPr>
          <w:rFonts w:hint="default" w:ascii="仿宋" w:hAnsi="仿宋" w:eastAsia="方正仿宋_GBK" w:cs="Times New Roman"/>
          <w:b w:val="0"/>
          <w:bCs w:val="0"/>
          <w:color w:val="auto"/>
          <w:sz w:val="30"/>
          <w:szCs w:val="30"/>
          <w:highlight w:val="none"/>
        </w:rPr>
        <w:t>跨境电商交易</w:t>
      </w:r>
      <w:r>
        <w:rPr>
          <w:rFonts w:hint="default" w:ascii="仿宋" w:hAnsi="仿宋" w:eastAsia="方正仿宋_GBK" w:cs="Times New Roman"/>
          <w:b w:val="0"/>
          <w:bCs w:val="0"/>
          <w:color w:val="auto"/>
          <w:sz w:val="30"/>
          <w:szCs w:val="30"/>
          <w:highlight w:val="none"/>
          <w:lang w:eastAsia="zh-CN"/>
        </w:rPr>
        <w:t>规模</w:t>
      </w:r>
      <w:r>
        <w:rPr>
          <w:rFonts w:hint="default" w:ascii="仿宋" w:hAnsi="仿宋" w:eastAsia="方正仿宋_GBK" w:cs="Times New Roman"/>
          <w:b w:val="0"/>
          <w:bCs w:val="0"/>
          <w:color w:val="auto"/>
          <w:sz w:val="30"/>
          <w:szCs w:val="30"/>
          <w:highlight w:val="none"/>
        </w:rPr>
        <w:t>达100万美元</w:t>
      </w:r>
      <w:r>
        <w:rPr>
          <w:rFonts w:hint="default" w:ascii="仿宋" w:hAnsi="仿宋" w:eastAsia="方正仿宋_GBK" w:cs="Times New Roman"/>
          <w:b w:val="0"/>
          <w:bCs w:val="0"/>
          <w:color w:val="auto"/>
          <w:spacing w:val="0"/>
          <w:sz w:val="30"/>
          <w:szCs w:val="30"/>
          <w:highlight w:val="none"/>
          <w:u w:val="none"/>
          <w:lang w:val="en-US" w:eastAsia="zh-CN"/>
        </w:rPr>
        <w:t>（含）以上</w:t>
      </w:r>
      <w:r>
        <w:rPr>
          <w:rFonts w:hint="default" w:ascii="仿宋" w:hAnsi="仿宋" w:eastAsia="方正仿宋_GBK" w:cs="Times New Roman"/>
          <w:b w:val="0"/>
          <w:bCs w:val="0"/>
          <w:color w:val="auto"/>
          <w:sz w:val="30"/>
          <w:szCs w:val="30"/>
          <w:highlight w:val="none"/>
        </w:rPr>
        <w:t>的企业，</w:t>
      </w:r>
      <w:r>
        <w:rPr>
          <w:rFonts w:hint="default" w:ascii="仿宋" w:hAnsi="仿宋" w:eastAsia="方正仿宋_GBK" w:cs="Times New Roman"/>
          <w:b w:val="0"/>
          <w:bCs w:val="0"/>
          <w:color w:val="auto"/>
          <w:sz w:val="30"/>
          <w:szCs w:val="30"/>
          <w:highlight w:val="none"/>
          <w:lang w:eastAsia="zh-CN"/>
        </w:rPr>
        <w:t>按</w:t>
      </w:r>
      <w:r>
        <w:rPr>
          <w:rFonts w:hint="default" w:ascii="仿宋" w:hAnsi="仿宋" w:eastAsia="方正仿宋_GBK" w:cs="Times New Roman"/>
          <w:b w:val="0"/>
          <w:bCs w:val="0"/>
          <w:color w:val="auto"/>
          <w:spacing w:val="0"/>
          <w:sz w:val="30"/>
          <w:szCs w:val="30"/>
          <w:highlight w:val="none"/>
          <w:u w:val="none"/>
          <w:lang w:val="en-US" w:eastAsia="zh-CN"/>
        </w:rPr>
        <w:t>其一年内</w:t>
      </w:r>
      <w:r>
        <w:rPr>
          <w:rFonts w:hint="default" w:ascii="仿宋" w:hAnsi="仿宋" w:eastAsia="方正仿宋_GBK" w:cs="Times New Roman"/>
          <w:b w:val="0"/>
          <w:bCs w:val="0"/>
          <w:color w:val="auto"/>
          <w:spacing w:val="0"/>
          <w:sz w:val="30"/>
          <w:szCs w:val="30"/>
          <w:highlight w:val="none"/>
          <w:u w:val="none"/>
        </w:rPr>
        <w:t>自建自营平</w:t>
      </w:r>
      <w:r>
        <w:rPr>
          <w:rFonts w:hint="default" w:ascii="仿宋" w:hAnsi="仿宋" w:eastAsia="方正仿宋_GBK" w:cs="Times New Roman"/>
          <w:b w:val="0"/>
          <w:bCs w:val="0"/>
          <w:color w:val="auto"/>
          <w:spacing w:val="0"/>
          <w:sz w:val="32"/>
          <w:szCs w:val="32"/>
          <w:highlight w:val="none"/>
          <w:u w:val="none"/>
        </w:rPr>
        <w:t>台建设成本或入驻第三方交易平台、宣传、引流、</w:t>
      </w:r>
      <w:r>
        <w:rPr>
          <w:rFonts w:hint="default" w:ascii="仿宋" w:hAnsi="仿宋" w:eastAsia="方正仿宋_GBK" w:cs="Times New Roman"/>
          <w:b w:val="0"/>
          <w:bCs w:val="0"/>
          <w:color w:val="auto"/>
          <w:spacing w:val="0"/>
          <w:sz w:val="32"/>
          <w:szCs w:val="32"/>
          <w:highlight w:val="none"/>
          <w:u w:val="none"/>
          <w:lang w:eastAsia="zh-CN"/>
        </w:rPr>
        <w:t>营销、</w:t>
      </w:r>
      <w:r>
        <w:rPr>
          <w:rFonts w:hint="default" w:ascii="仿宋" w:hAnsi="仿宋" w:eastAsia="方正仿宋_GBK" w:cs="Times New Roman"/>
          <w:b w:val="0"/>
          <w:bCs w:val="0"/>
          <w:color w:val="auto"/>
          <w:sz w:val="32"/>
          <w:szCs w:val="32"/>
          <w:highlight w:val="none"/>
        </w:rPr>
        <w:t>物流、</w:t>
      </w:r>
      <w:r>
        <w:rPr>
          <w:rFonts w:hint="default" w:ascii="仿宋" w:hAnsi="仿宋" w:eastAsia="方正仿宋_GBK" w:cs="Times New Roman"/>
          <w:b w:val="0"/>
          <w:bCs w:val="0"/>
          <w:color w:val="auto"/>
          <w:sz w:val="32"/>
          <w:szCs w:val="32"/>
          <w:highlight w:val="none"/>
          <w:lang w:eastAsia="zh-CN"/>
        </w:rPr>
        <w:t>仓储、</w:t>
      </w:r>
      <w:r>
        <w:rPr>
          <w:rFonts w:hint="default" w:ascii="仿宋" w:hAnsi="仿宋" w:eastAsia="方正仿宋_GBK" w:cs="Times New Roman"/>
          <w:b w:val="0"/>
          <w:bCs w:val="0"/>
          <w:color w:val="auto"/>
          <w:sz w:val="32"/>
          <w:szCs w:val="32"/>
          <w:highlight w:val="none"/>
        </w:rPr>
        <w:t>参加展会</w:t>
      </w:r>
      <w:r>
        <w:rPr>
          <w:rFonts w:hint="default" w:ascii="仿宋" w:hAnsi="仿宋" w:eastAsia="方正仿宋_GBK" w:cs="Times New Roman"/>
          <w:b w:val="0"/>
          <w:bCs w:val="0"/>
          <w:color w:val="auto"/>
          <w:sz w:val="32"/>
          <w:szCs w:val="32"/>
          <w:highlight w:val="none"/>
          <w:lang w:eastAsia="zh-CN"/>
        </w:rPr>
        <w:t>等相关费用</w:t>
      </w:r>
      <w:r>
        <w:rPr>
          <w:rFonts w:hint="default" w:ascii="仿宋" w:hAnsi="仿宋" w:eastAsia="方正仿宋_GBK" w:cs="Times New Roman"/>
          <w:b w:val="0"/>
          <w:bCs w:val="0"/>
          <w:color w:val="auto"/>
          <w:spacing w:val="0"/>
          <w:sz w:val="32"/>
          <w:szCs w:val="32"/>
          <w:highlight w:val="none"/>
          <w:u w:val="none"/>
          <w:lang w:eastAsia="zh-CN"/>
        </w:rPr>
        <w:t>，</w:t>
      </w:r>
      <w:r>
        <w:rPr>
          <w:rFonts w:hint="default" w:ascii="仿宋" w:hAnsi="仿宋" w:eastAsia="方正仿宋_GBK" w:cs="Times New Roman"/>
          <w:b w:val="0"/>
          <w:bCs w:val="0"/>
          <w:color w:val="auto"/>
          <w:sz w:val="32"/>
          <w:szCs w:val="32"/>
          <w:highlight w:val="none"/>
          <w:lang w:eastAsia="zh-CN"/>
        </w:rPr>
        <w:t>依据审定实际投入资金给予不超过</w:t>
      </w:r>
      <w:r>
        <w:rPr>
          <w:rFonts w:hint="default" w:ascii="仿宋" w:hAnsi="仿宋" w:eastAsia="方正仿宋_GBK" w:cs="Times New Roman"/>
          <w:b w:val="0"/>
          <w:bCs w:val="0"/>
          <w:color w:val="auto"/>
          <w:sz w:val="32"/>
          <w:szCs w:val="32"/>
          <w:highlight w:val="none"/>
          <w:lang w:val="en-US" w:eastAsia="zh-CN"/>
        </w:rPr>
        <w:t>50%的资金支持，</w:t>
      </w:r>
      <w:r>
        <w:rPr>
          <w:rFonts w:hint="default" w:ascii="仿宋" w:hAnsi="仿宋" w:eastAsia="方正仿宋_GBK" w:cs="Times New Roman"/>
          <w:b w:val="0"/>
          <w:bCs w:val="0"/>
          <w:color w:val="auto"/>
          <w:sz w:val="32"/>
          <w:szCs w:val="32"/>
          <w:highlight w:val="none"/>
        </w:rPr>
        <w:t>每个企业</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lang w:eastAsia="zh-CN"/>
        </w:rPr>
        <w:t>最高</w:t>
      </w:r>
      <w:r>
        <w:rPr>
          <w:rFonts w:hint="default" w:ascii="仿宋" w:hAnsi="仿宋" w:eastAsia="方正仿宋_GBK" w:cs="Times New Roman"/>
          <w:b w:val="0"/>
          <w:bCs w:val="0"/>
          <w:color w:val="auto"/>
          <w:sz w:val="32"/>
          <w:szCs w:val="32"/>
          <w:highlight w:val="none"/>
        </w:rPr>
        <w:t>不超过</w:t>
      </w:r>
      <w:r>
        <w:rPr>
          <w:rFonts w:hint="default" w:ascii="仿宋" w:hAnsi="仿宋" w:eastAsia="方正仿宋_GBK" w:cs="Times New Roman"/>
          <w:b w:val="0"/>
          <w:bCs w:val="0"/>
          <w:color w:val="auto"/>
          <w:sz w:val="32"/>
          <w:szCs w:val="32"/>
          <w:highlight w:val="none"/>
          <w:lang w:val="en-US"/>
        </w:rPr>
        <w:t>1</w:t>
      </w:r>
      <w:r>
        <w:rPr>
          <w:rFonts w:hint="default" w:ascii="仿宋" w:hAnsi="仿宋" w:eastAsia="方正仿宋_GBK" w:cs="Times New Roman"/>
          <w:b w:val="0"/>
          <w:bCs w:val="0"/>
          <w:color w:val="auto"/>
          <w:sz w:val="32"/>
          <w:szCs w:val="32"/>
          <w:highlight w:val="none"/>
        </w:rPr>
        <w:t>0万元</w:t>
      </w:r>
      <w:r>
        <w:rPr>
          <w:rFonts w:hint="default" w:ascii="仿宋" w:hAnsi="仿宋" w:eastAsia="方正仿宋_GBK" w:cs="Times New Roman"/>
          <w:b w:val="0"/>
          <w:bCs w:val="0"/>
          <w:color w:val="auto"/>
          <w:sz w:val="32"/>
          <w:szCs w:val="32"/>
          <w:highlight w:val="none"/>
          <w:lang w:eastAsia="zh-CN"/>
        </w:rPr>
        <w:t>。</w:t>
      </w:r>
    </w:p>
    <w:p w14:paraId="67A996B8">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z w:val="32"/>
          <w:szCs w:val="32"/>
          <w:highlight w:val="none"/>
          <w:u w:val="none"/>
          <w:lang w:val="en-US" w:eastAsia="zh-CN"/>
        </w:rPr>
        <w:t>（二）</w:t>
      </w:r>
      <w:r>
        <w:rPr>
          <w:rFonts w:hint="default" w:ascii="仿宋" w:hAnsi="仿宋" w:eastAsia="方正仿宋_GBK" w:cs="Times New Roman"/>
          <w:b w:val="0"/>
          <w:bCs w:val="0"/>
          <w:color w:val="auto"/>
          <w:sz w:val="32"/>
          <w:szCs w:val="32"/>
          <w:highlight w:val="none"/>
          <w:u w:val="none"/>
        </w:rPr>
        <w:t>对利用O2O（线上对线下进行交易）解决方案、移动商城、APP应用等方式开展交易、物流、配送、专业服务等经营活动实现深度融合的商贸流通企业，</w:t>
      </w:r>
      <w:r>
        <w:rPr>
          <w:rFonts w:hint="default" w:ascii="仿宋" w:hAnsi="仿宋" w:eastAsia="方正仿宋_GBK" w:cs="Times New Roman"/>
          <w:b w:val="0"/>
          <w:bCs w:val="0"/>
          <w:color w:val="auto"/>
          <w:sz w:val="32"/>
          <w:szCs w:val="32"/>
          <w:highlight w:val="none"/>
          <w:u w:val="none"/>
          <w:lang w:val="en-US" w:eastAsia="zh-CN"/>
        </w:rPr>
        <w:t>按其交易额给予一定比例的资金支持。其中，对</w:t>
      </w:r>
      <w:r>
        <w:rPr>
          <w:rFonts w:hint="default" w:ascii="仿宋" w:hAnsi="仿宋" w:eastAsia="方正仿宋_GBK" w:cs="Times New Roman"/>
          <w:b w:val="0"/>
          <w:bCs w:val="0"/>
          <w:color w:val="auto"/>
          <w:sz w:val="32"/>
          <w:szCs w:val="32"/>
          <w:highlight w:val="none"/>
          <w:u w:val="none"/>
        </w:rPr>
        <w:t>上年度线上交易额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1000万元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lang w:eastAsia="zh-CN"/>
        </w:rPr>
        <w:t>3000万元（</w:t>
      </w:r>
      <w:r>
        <w:rPr>
          <w:rFonts w:hint="default" w:ascii="仿宋" w:hAnsi="仿宋" w:eastAsia="方正仿宋_GBK" w:cs="Times New Roman"/>
          <w:b w:val="0"/>
          <w:bCs w:val="0"/>
          <w:color w:val="auto"/>
          <w:sz w:val="32"/>
          <w:szCs w:val="32"/>
          <w:highlight w:val="none"/>
          <w:u w:val="none"/>
          <w:lang w:val="en-US" w:eastAsia="zh-CN"/>
        </w:rPr>
        <w:t>不</w:t>
      </w:r>
      <w:r>
        <w:rPr>
          <w:rFonts w:hint="default" w:ascii="仿宋" w:hAnsi="仿宋" w:eastAsia="方正仿宋_GBK" w:cs="Times New Roman"/>
          <w:b w:val="0"/>
          <w:bCs w:val="0"/>
          <w:color w:val="auto"/>
          <w:sz w:val="32"/>
          <w:szCs w:val="32"/>
          <w:highlight w:val="none"/>
          <w:u w:val="none"/>
          <w:lang w:eastAsia="zh-CN"/>
        </w:rPr>
        <w:t>含）</w:t>
      </w:r>
      <w:r>
        <w:rPr>
          <w:rFonts w:hint="default" w:ascii="仿宋" w:hAnsi="仿宋" w:eastAsia="方正仿宋_GBK" w:cs="Times New Roman"/>
          <w:b w:val="0"/>
          <w:bCs w:val="0"/>
          <w:color w:val="auto"/>
          <w:sz w:val="32"/>
          <w:szCs w:val="32"/>
          <w:highlight w:val="none"/>
          <w:u w:val="none"/>
          <w:lang w:val="en-US" w:eastAsia="zh-CN"/>
        </w:rPr>
        <w:t>以下</w:t>
      </w:r>
      <w:r>
        <w:rPr>
          <w:rFonts w:hint="default" w:ascii="仿宋" w:hAnsi="仿宋" w:eastAsia="方正仿宋_GBK" w:cs="Times New Roman"/>
          <w:b w:val="0"/>
          <w:bCs w:val="0"/>
          <w:color w:val="auto"/>
          <w:sz w:val="32"/>
          <w:szCs w:val="32"/>
          <w:highlight w:val="none"/>
          <w:u w:val="none"/>
        </w:rPr>
        <w:t>并实现同比正增长的（</w:t>
      </w:r>
      <w:r>
        <w:rPr>
          <w:rFonts w:hint="default" w:ascii="仿宋" w:hAnsi="仿宋" w:eastAsia="方正仿宋_GBK" w:cs="Times New Roman"/>
          <w:b w:val="0"/>
          <w:bCs w:val="0"/>
          <w:color w:val="auto"/>
          <w:sz w:val="32"/>
          <w:szCs w:val="32"/>
          <w:highlight w:val="none"/>
          <w:u w:val="none"/>
          <w:lang w:val="en-US" w:eastAsia="zh-CN"/>
        </w:rPr>
        <w:t>对</w:t>
      </w:r>
      <w:r>
        <w:rPr>
          <w:rFonts w:hint="default" w:ascii="仿宋" w:hAnsi="仿宋" w:eastAsia="方正仿宋_GBK" w:cs="Times New Roman"/>
          <w:b w:val="0"/>
          <w:bCs w:val="0"/>
          <w:color w:val="auto"/>
          <w:sz w:val="32"/>
          <w:szCs w:val="32"/>
          <w:highlight w:val="none"/>
          <w:u w:val="none"/>
        </w:rPr>
        <w:t>新落户企业首个年度无增长要求，下同）</w:t>
      </w:r>
      <w:r>
        <w:rPr>
          <w:rFonts w:hint="default" w:ascii="仿宋" w:hAnsi="仿宋" w:eastAsia="方正仿宋_GBK" w:cs="Times New Roman"/>
          <w:b w:val="0"/>
          <w:bCs w:val="0"/>
          <w:color w:val="auto"/>
          <w:sz w:val="30"/>
          <w:szCs w:val="30"/>
          <w:highlight w:val="none"/>
          <w:u w:val="none"/>
          <w:lang w:eastAsia="zh-CN"/>
        </w:rPr>
        <w:t>，</w:t>
      </w:r>
      <w:r>
        <w:rPr>
          <w:rFonts w:hint="default" w:ascii="仿宋" w:hAnsi="仿宋" w:eastAsia="方正仿宋_GBK" w:cs="Times New Roman"/>
          <w:b w:val="0"/>
          <w:bCs w:val="0"/>
          <w:color w:val="auto"/>
          <w:sz w:val="32"/>
          <w:szCs w:val="32"/>
          <w:highlight w:val="none"/>
          <w:u w:val="none"/>
        </w:rPr>
        <w:t>或线上+线下交易额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3000万元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lang w:eastAsia="zh-CN"/>
        </w:rPr>
        <w:t>1亿元（</w:t>
      </w:r>
      <w:r>
        <w:rPr>
          <w:rFonts w:hint="default" w:ascii="仿宋" w:hAnsi="仿宋" w:eastAsia="方正仿宋_GBK" w:cs="Times New Roman"/>
          <w:b w:val="0"/>
          <w:bCs w:val="0"/>
          <w:color w:val="auto"/>
          <w:sz w:val="32"/>
          <w:szCs w:val="32"/>
          <w:highlight w:val="none"/>
          <w:u w:val="none"/>
          <w:lang w:val="en-US" w:eastAsia="zh-CN"/>
        </w:rPr>
        <w:t>不含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以下</w:t>
      </w:r>
      <w:r>
        <w:rPr>
          <w:rFonts w:hint="default" w:ascii="仿宋" w:hAnsi="仿宋" w:eastAsia="方正仿宋_GBK" w:cs="Times New Roman"/>
          <w:b w:val="0"/>
          <w:bCs w:val="0"/>
          <w:color w:val="auto"/>
          <w:sz w:val="32"/>
          <w:szCs w:val="32"/>
          <w:highlight w:val="none"/>
          <w:u w:val="none"/>
        </w:rPr>
        <w:t>且线上交易额</w:t>
      </w:r>
      <w:r>
        <w:rPr>
          <w:rFonts w:hint="default" w:ascii="仿宋" w:hAnsi="仿宋" w:eastAsia="方正仿宋_GBK" w:cs="Times New Roman"/>
          <w:b w:val="0"/>
          <w:bCs w:val="0"/>
          <w:color w:val="auto"/>
          <w:sz w:val="32"/>
          <w:szCs w:val="32"/>
          <w:highlight w:val="none"/>
          <w:u w:val="none"/>
          <w:lang w:val="en-US" w:eastAsia="zh-CN"/>
        </w:rPr>
        <w:t>增长率</w:t>
      </w:r>
      <w:r>
        <w:rPr>
          <w:rFonts w:hint="default" w:ascii="仿宋" w:hAnsi="仿宋" w:eastAsia="方正仿宋_GBK" w:cs="Times New Roman"/>
          <w:b w:val="0"/>
          <w:bCs w:val="0"/>
          <w:color w:val="auto"/>
          <w:sz w:val="32"/>
          <w:szCs w:val="32"/>
          <w:highlight w:val="none"/>
          <w:u w:val="none"/>
        </w:rPr>
        <w:t>超过10%</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rPr>
        <w:t>，一次性给予5万元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rPr>
        <w:t>；</w:t>
      </w:r>
      <w:r>
        <w:rPr>
          <w:rFonts w:hint="default" w:ascii="仿宋" w:hAnsi="仿宋" w:eastAsia="方正仿宋_GBK" w:cs="Times New Roman"/>
          <w:b w:val="0"/>
          <w:bCs w:val="0"/>
          <w:color w:val="auto"/>
          <w:sz w:val="32"/>
          <w:szCs w:val="32"/>
          <w:highlight w:val="none"/>
          <w:u w:val="none"/>
          <w:lang w:val="en-US" w:eastAsia="zh-CN"/>
        </w:rPr>
        <w:t>对</w:t>
      </w:r>
      <w:r>
        <w:rPr>
          <w:rFonts w:hint="default" w:ascii="仿宋" w:hAnsi="仿宋" w:eastAsia="方正仿宋_GBK" w:cs="Times New Roman"/>
          <w:b w:val="0"/>
          <w:bCs w:val="0"/>
          <w:color w:val="auto"/>
          <w:sz w:val="32"/>
          <w:szCs w:val="32"/>
          <w:highlight w:val="none"/>
          <w:u w:val="none"/>
        </w:rPr>
        <w:t>上年度线上交易额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3000万元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rPr>
        <w:t>并实现同比正增长的，或线上+线下交易额</w:t>
      </w:r>
      <w:r>
        <w:rPr>
          <w:rFonts w:hint="default" w:ascii="仿宋" w:hAnsi="仿宋" w:eastAsia="方正仿宋_GBK" w:cs="Times New Roman"/>
          <w:b w:val="0"/>
          <w:bCs w:val="0"/>
          <w:color w:val="auto"/>
          <w:sz w:val="32"/>
          <w:szCs w:val="32"/>
          <w:highlight w:val="none"/>
          <w:u w:val="none"/>
          <w:lang w:val="en-US" w:eastAsia="zh-CN"/>
        </w:rPr>
        <w:t>达到</w:t>
      </w:r>
      <w:r>
        <w:rPr>
          <w:rFonts w:hint="default" w:ascii="仿宋" w:hAnsi="仿宋" w:eastAsia="方正仿宋_GBK" w:cs="Times New Roman"/>
          <w:b w:val="0"/>
          <w:bCs w:val="0"/>
          <w:color w:val="auto"/>
          <w:sz w:val="32"/>
          <w:szCs w:val="32"/>
          <w:highlight w:val="none"/>
          <w:u w:val="none"/>
        </w:rPr>
        <w:t>1亿元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b w:val="0"/>
          <w:bCs w:val="0"/>
          <w:color w:val="auto"/>
          <w:sz w:val="32"/>
          <w:szCs w:val="32"/>
          <w:highlight w:val="none"/>
          <w:u w:val="none"/>
        </w:rPr>
        <w:t>且线上交易额增长率超过10%</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rPr>
        <w:t>一次性给予10万元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rPr>
        <w:t>。</w:t>
      </w:r>
    </w:p>
    <w:p w14:paraId="0B84FC5D">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黑体_GBK" w:cs="Times New Roman"/>
          <w:b w:val="0"/>
          <w:bCs w:val="0"/>
          <w:color w:val="auto"/>
          <w:sz w:val="32"/>
          <w:szCs w:val="32"/>
          <w:highlight w:val="none"/>
          <w:lang w:eastAsia="zh-CN"/>
        </w:rPr>
      </w:pPr>
      <w:r>
        <w:rPr>
          <w:rFonts w:hint="default" w:ascii="仿宋" w:hAnsi="仿宋" w:eastAsia="方正黑体_GBK" w:cs="Times New Roman"/>
          <w:b w:val="0"/>
          <w:bCs w:val="0"/>
          <w:color w:val="auto"/>
          <w:sz w:val="32"/>
          <w:szCs w:val="32"/>
          <w:highlight w:val="none"/>
          <w:lang w:val="en-US" w:eastAsia="zh-CN"/>
        </w:rPr>
        <w:t>二、</w:t>
      </w:r>
      <w:r>
        <w:rPr>
          <w:rFonts w:hint="default" w:ascii="仿宋" w:hAnsi="仿宋" w:eastAsia="方正黑体_GBK" w:cs="Times New Roman"/>
          <w:b w:val="0"/>
          <w:bCs w:val="0"/>
          <w:color w:val="auto"/>
          <w:sz w:val="32"/>
          <w:szCs w:val="32"/>
          <w:highlight w:val="none"/>
        </w:rPr>
        <w:t>支持电商直播</w:t>
      </w:r>
      <w:r>
        <w:rPr>
          <w:rFonts w:hint="default" w:ascii="仿宋" w:hAnsi="仿宋" w:eastAsia="方正黑体_GBK" w:cs="Times New Roman"/>
          <w:b w:val="0"/>
          <w:bCs w:val="0"/>
          <w:color w:val="auto"/>
          <w:sz w:val="32"/>
          <w:szCs w:val="32"/>
          <w:highlight w:val="none"/>
          <w:lang w:eastAsia="zh-CN"/>
        </w:rPr>
        <w:t>发展</w:t>
      </w:r>
    </w:p>
    <w:p w14:paraId="0D6B02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lang w:val="en-US"/>
        </w:rPr>
      </w:pPr>
      <w:r>
        <w:rPr>
          <w:rFonts w:hint="default" w:ascii="仿宋" w:hAnsi="仿宋" w:eastAsia="方正仿宋_GBK" w:cs="Times New Roman"/>
          <w:color w:val="auto"/>
          <w:sz w:val="32"/>
          <w:szCs w:val="32"/>
          <w:highlight w:val="none"/>
          <w:u w:val="none"/>
          <w:lang w:val="en-US" w:eastAsia="zh-CN"/>
        </w:rPr>
        <w:t>（三）</w:t>
      </w:r>
      <w:r>
        <w:rPr>
          <w:rFonts w:hint="default" w:ascii="仿宋" w:hAnsi="仿宋" w:eastAsia="方正仿宋_GBK" w:cs="Times New Roman"/>
          <w:color w:val="auto"/>
          <w:sz w:val="32"/>
          <w:szCs w:val="32"/>
          <w:highlight w:val="none"/>
          <w:lang w:val="en" w:eastAsia="zh-CN"/>
        </w:rPr>
        <w:t>对</w:t>
      </w:r>
      <w:r>
        <w:rPr>
          <w:rFonts w:hint="default" w:ascii="仿宋" w:hAnsi="仿宋" w:eastAsia="方正仿宋_GBK" w:cs="Times New Roman"/>
          <w:color w:val="auto"/>
          <w:sz w:val="32"/>
          <w:szCs w:val="32"/>
          <w:highlight w:val="none"/>
        </w:rPr>
        <w:t>直播</w:t>
      </w:r>
      <w:r>
        <w:rPr>
          <w:rFonts w:hint="default" w:ascii="仿宋" w:hAnsi="仿宋" w:eastAsia="方正仿宋_GBK" w:cs="Times New Roman"/>
          <w:color w:val="auto"/>
          <w:sz w:val="32"/>
          <w:szCs w:val="32"/>
          <w:highlight w:val="none"/>
          <w:lang w:eastAsia="zh-CN"/>
        </w:rPr>
        <w:t>企业</w:t>
      </w:r>
      <w:r>
        <w:rPr>
          <w:rFonts w:hint="default" w:ascii="仿宋" w:hAnsi="仿宋" w:eastAsia="方正仿宋_GBK" w:cs="Times New Roman"/>
          <w:color w:val="auto"/>
          <w:sz w:val="32"/>
          <w:szCs w:val="32"/>
          <w:highlight w:val="none"/>
        </w:rPr>
        <w:t>提供直播服务获得的收入全年累计达</w:t>
      </w:r>
      <w:r>
        <w:rPr>
          <w:rFonts w:hint="default" w:ascii="仿宋" w:hAnsi="仿宋" w:eastAsia="方正仿宋_GBK" w:cs="Times New Roman"/>
          <w:color w:val="auto"/>
          <w:sz w:val="32"/>
          <w:szCs w:val="32"/>
          <w:highlight w:val="none"/>
          <w:lang w:eastAsia="zh-CN"/>
        </w:rPr>
        <w:t>到</w:t>
      </w:r>
      <w:r>
        <w:rPr>
          <w:rFonts w:hint="default" w:ascii="仿宋" w:hAnsi="仿宋" w:eastAsia="方正仿宋_GBK" w:cs="Times New Roman"/>
          <w:color w:val="auto"/>
          <w:sz w:val="32"/>
          <w:szCs w:val="32"/>
          <w:highlight w:val="none"/>
        </w:rPr>
        <w:t>1000万元</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含</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以上</w:t>
      </w:r>
      <w:r>
        <w:rPr>
          <w:rFonts w:hint="default" w:ascii="仿宋" w:hAnsi="仿宋" w:eastAsia="方正仿宋_GBK" w:cs="Times New Roman"/>
          <w:color w:val="auto"/>
          <w:sz w:val="32"/>
          <w:szCs w:val="32"/>
          <w:highlight w:val="none"/>
        </w:rPr>
        <w:t>，按照年直播服务收入的1‰给予奖励，每家企业每年奖励</w:t>
      </w:r>
      <w:r>
        <w:rPr>
          <w:rFonts w:hint="default" w:ascii="仿宋" w:hAnsi="仿宋" w:eastAsia="方正仿宋_GBK" w:cs="Times New Roman"/>
          <w:color w:val="auto"/>
          <w:sz w:val="32"/>
          <w:szCs w:val="32"/>
          <w:highlight w:val="none"/>
          <w:lang w:eastAsia="zh-CN"/>
        </w:rPr>
        <w:t>最高不超过</w:t>
      </w:r>
      <w:r>
        <w:rPr>
          <w:rFonts w:hint="default" w:ascii="仿宋" w:hAnsi="仿宋" w:eastAsia="方正仿宋_GBK" w:cs="Times New Roman"/>
          <w:color w:val="auto"/>
          <w:sz w:val="32"/>
          <w:szCs w:val="32"/>
          <w:highlight w:val="none"/>
          <w:lang w:val="en-US"/>
        </w:rPr>
        <w:t>1</w:t>
      </w:r>
      <w:r>
        <w:rPr>
          <w:rFonts w:hint="default" w:ascii="仿宋" w:hAnsi="仿宋" w:eastAsia="方正仿宋_GBK" w:cs="Times New Roman"/>
          <w:color w:val="auto"/>
          <w:sz w:val="32"/>
          <w:szCs w:val="32"/>
          <w:highlight w:val="none"/>
        </w:rPr>
        <w:t>0万元</w:t>
      </w:r>
      <w:r>
        <w:rPr>
          <w:rFonts w:hint="default" w:ascii="仿宋" w:hAnsi="仿宋" w:eastAsia="方正仿宋_GBK" w:cs="Times New Roman"/>
          <w:color w:val="auto"/>
          <w:sz w:val="32"/>
          <w:szCs w:val="32"/>
          <w:highlight w:val="none"/>
          <w:lang w:eastAsia="zh-CN"/>
        </w:rPr>
        <w:t>。</w:t>
      </w:r>
    </w:p>
    <w:p w14:paraId="0AE40B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楷体_GBK" w:cs="Times New Roman"/>
          <w:b w:val="0"/>
          <w:bCs w:val="0"/>
          <w:color w:val="auto"/>
          <w:sz w:val="32"/>
          <w:szCs w:val="32"/>
          <w:highlight w:val="none"/>
          <w:lang w:val="en-US" w:eastAsia="zh-CN"/>
        </w:rPr>
      </w:pPr>
      <w:r>
        <w:rPr>
          <w:rFonts w:hint="default" w:ascii="仿宋" w:hAnsi="仿宋" w:eastAsia="方正仿宋_GBK" w:cs="Times New Roman"/>
          <w:b w:val="0"/>
          <w:bCs w:val="0"/>
          <w:color w:val="auto"/>
          <w:sz w:val="32"/>
          <w:szCs w:val="32"/>
          <w:highlight w:val="none"/>
          <w:u w:val="none"/>
          <w:lang w:val="en-US" w:eastAsia="zh-CN"/>
        </w:rPr>
        <w:t>（四）</w:t>
      </w:r>
      <w:r>
        <w:rPr>
          <w:rFonts w:hint="default" w:ascii="仿宋" w:hAnsi="仿宋" w:eastAsia="方正仿宋_GBK" w:cs="Times New Roman"/>
          <w:color w:val="auto"/>
          <w:sz w:val="32"/>
          <w:szCs w:val="32"/>
          <w:highlight w:val="none"/>
          <w:u w:val="none"/>
        </w:rPr>
        <w:t>对</w:t>
      </w:r>
      <w:r>
        <w:rPr>
          <w:rFonts w:hint="default" w:ascii="仿宋" w:hAnsi="仿宋" w:eastAsia="方正仿宋_GBK" w:cs="Times New Roman"/>
          <w:color w:val="auto"/>
          <w:sz w:val="32"/>
          <w:szCs w:val="32"/>
          <w:highlight w:val="none"/>
        </w:rPr>
        <w:t>通过直播方式销售商品实现</w:t>
      </w:r>
      <w:r>
        <w:rPr>
          <w:rFonts w:hint="default" w:ascii="仿宋" w:hAnsi="仿宋" w:eastAsia="方正仿宋_GBK" w:cs="Times New Roman"/>
          <w:color w:val="auto"/>
          <w:sz w:val="32"/>
          <w:szCs w:val="32"/>
          <w:highlight w:val="none"/>
          <w:lang w:eastAsia="zh-CN"/>
        </w:rPr>
        <w:t>网络</w:t>
      </w:r>
      <w:r>
        <w:rPr>
          <w:rFonts w:hint="default" w:ascii="仿宋" w:hAnsi="仿宋" w:eastAsia="方正仿宋_GBK" w:cs="Times New Roman"/>
          <w:color w:val="auto"/>
          <w:sz w:val="32"/>
          <w:szCs w:val="32"/>
          <w:highlight w:val="none"/>
        </w:rPr>
        <w:t>年销售额达</w:t>
      </w:r>
      <w:r>
        <w:rPr>
          <w:rFonts w:hint="default" w:ascii="仿宋" w:hAnsi="仿宋" w:eastAsia="方正仿宋_GBK" w:cs="Times New Roman"/>
          <w:color w:val="auto"/>
          <w:sz w:val="32"/>
          <w:szCs w:val="32"/>
          <w:highlight w:val="none"/>
          <w:lang w:eastAsia="zh-CN"/>
        </w:rPr>
        <w:t>到</w:t>
      </w:r>
      <w:r>
        <w:rPr>
          <w:rFonts w:hint="default" w:ascii="仿宋" w:hAnsi="仿宋" w:eastAsia="方正仿宋_GBK" w:cs="Times New Roman"/>
          <w:color w:val="auto"/>
          <w:sz w:val="32"/>
          <w:szCs w:val="32"/>
          <w:highlight w:val="none"/>
        </w:rPr>
        <w:t>1000万元的企业，按照直播实现</w:t>
      </w:r>
      <w:r>
        <w:rPr>
          <w:rFonts w:hint="default" w:ascii="仿宋" w:hAnsi="仿宋" w:eastAsia="方正仿宋_GBK" w:cs="Times New Roman"/>
          <w:color w:val="auto"/>
          <w:sz w:val="32"/>
          <w:szCs w:val="32"/>
          <w:highlight w:val="none"/>
          <w:lang w:eastAsia="zh-CN"/>
        </w:rPr>
        <w:t>网络</w:t>
      </w:r>
      <w:r>
        <w:rPr>
          <w:rFonts w:hint="default" w:ascii="仿宋" w:hAnsi="仿宋" w:eastAsia="方正仿宋_GBK" w:cs="Times New Roman"/>
          <w:color w:val="auto"/>
          <w:sz w:val="32"/>
          <w:szCs w:val="32"/>
          <w:highlight w:val="none"/>
        </w:rPr>
        <w:t>年销售额的1‰给予奖励</w:t>
      </w:r>
      <w:r>
        <w:rPr>
          <w:rFonts w:hint="default" w:ascii="仿宋" w:hAnsi="仿宋" w:eastAsia="方正仿宋_GBK" w:cs="Times New Roman"/>
          <w:color w:val="auto"/>
          <w:sz w:val="32"/>
          <w:szCs w:val="32"/>
          <w:highlight w:val="none"/>
          <w:lang w:eastAsia="zh-CN"/>
        </w:rPr>
        <w:t>，给予</w:t>
      </w:r>
      <w:r>
        <w:rPr>
          <w:rFonts w:hint="default" w:ascii="仿宋" w:hAnsi="仿宋" w:eastAsia="方正仿宋_GBK" w:cs="Times New Roman"/>
          <w:color w:val="auto"/>
          <w:sz w:val="32"/>
          <w:szCs w:val="32"/>
          <w:highlight w:val="none"/>
        </w:rPr>
        <w:t>每家企业每年</w:t>
      </w:r>
      <w:r>
        <w:rPr>
          <w:rFonts w:hint="default" w:ascii="仿宋" w:hAnsi="仿宋" w:eastAsia="方正仿宋_GBK" w:cs="Times New Roman"/>
          <w:color w:val="auto"/>
          <w:sz w:val="32"/>
          <w:szCs w:val="32"/>
          <w:highlight w:val="none"/>
          <w:lang w:eastAsia="zh-CN"/>
        </w:rPr>
        <w:t>最高不超过</w:t>
      </w:r>
      <w:r>
        <w:rPr>
          <w:rFonts w:hint="default" w:ascii="仿宋" w:hAnsi="仿宋" w:eastAsia="方正仿宋_GBK" w:cs="Times New Roman"/>
          <w:color w:val="auto"/>
          <w:sz w:val="32"/>
          <w:szCs w:val="32"/>
          <w:highlight w:val="none"/>
          <w:lang w:val="en-US"/>
        </w:rPr>
        <w:t>1</w:t>
      </w:r>
      <w:r>
        <w:rPr>
          <w:rFonts w:hint="default" w:ascii="仿宋" w:hAnsi="仿宋" w:eastAsia="方正仿宋_GBK" w:cs="Times New Roman"/>
          <w:color w:val="auto"/>
          <w:sz w:val="32"/>
          <w:szCs w:val="32"/>
          <w:highlight w:val="none"/>
        </w:rPr>
        <w:t>0万元奖励</w:t>
      </w:r>
      <w:r>
        <w:rPr>
          <w:rFonts w:hint="default" w:ascii="仿宋" w:hAnsi="仿宋" w:eastAsia="方正仿宋_GBK" w:cs="Times New Roman"/>
          <w:color w:val="auto"/>
          <w:sz w:val="32"/>
          <w:szCs w:val="32"/>
          <w:highlight w:val="none"/>
          <w:lang w:eastAsia="zh-CN"/>
        </w:rPr>
        <w:t>。</w:t>
      </w:r>
    </w:p>
    <w:p w14:paraId="3B343DA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三、培育壮大电子商务规模</w:t>
      </w:r>
    </w:p>
    <w:p w14:paraId="4EBD4EAB">
      <w:pPr>
        <w:pageBreakBefore w:val="0"/>
        <w:numPr>
          <w:ilvl w:val="0"/>
          <w:numId w:val="0"/>
        </w:numPr>
        <w:kinsoku/>
        <w:wordWrap/>
        <w:overflowPunct/>
        <w:topLinePunct w:val="0"/>
        <w:autoSpaceDE/>
        <w:autoSpaceDN/>
        <w:bidi w:val="0"/>
        <w:spacing w:after="0"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b w:val="0"/>
          <w:bCs w:val="0"/>
          <w:color w:val="auto"/>
          <w:sz w:val="32"/>
          <w:szCs w:val="32"/>
          <w:highlight w:val="none"/>
          <w:u w:val="none"/>
          <w:lang w:eastAsia="zh-CN"/>
        </w:rPr>
        <w:t>对已纳入统计范围的电商企业进行成长性奖励。</w:t>
      </w:r>
    </w:p>
    <w:p w14:paraId="58C10A5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val="en-US" w:eastAsia="zh-CN"/>
        </w:rPr>
      </w:pPr>
      <w:r>
        <w:rPr>
          <w:rFonts w:hint="default" w:ascii="仿宋" w:hAnsi="仿宋" w:eastAsia="方正仿宋_GBK" w:cs="Times New Roman"/>
          <w:color w:val="auto"/>
          <w:sz w:val="32"/>
          <w:szCs w:val="32"/>
          <w:highlight w:val="none"/>
          <w:u w:val="none"/>
          <w:lang w:val="en-US" w:eastAsia="zh-CN"/>
        </w:rPr>
        <w:t>（五）对</w:t>
      </w:r>
      <w:r>
        <w:rPr>
          <w:rFonts w:hint="default" w:ascii="仿宋" w:hAnsi="仿宋" w:eastAsia="方正仿宋_GBK" w:cs="Times New Roman"/>
          <w:b w:val="0"/>
          <w:bCs w:val="0"/>
          <w:color w:val="auto"/>
          <w:sz w:val="32"/>
          <w:szCs w:val="32"/>
          <w:highlight w:val="none"/>
          <w:u w:val="none"/>
          <w:lang w:eastAsia="zh-CN"/>
        </w:rPr>
        <w:t>上年度年销售额达到1000万元（含）以上、5000万元（</w:t>
      </w:r>
      <w:r>
        <w:rPr>
          <w:rFonts w:hint="default" w:ascii="仿宋" w:hAnsi="仿宋" w:eastAsia="方正仿宋_GBK" w:cs="Times New Roman"/>
          <w:b w:val="0"/>
          <w:bCs w:val="0"/>
          <w:color w:val="auto"/>
          <w:sz w:val="32"/>
          <w:szCs w:val="32"/>
          <w:highlight w:val="none"/>
          <w:u w:val="none"/>
          <w:lang w:val="en-US" w:eastAsia="zh-CN"/>
        </w:rPr>
        <w:t>不</w:t>
      </w:r>
      <w:r>
        <w:rPr>
          <w:rFonts w:hint="default" w:ascii="仿宋" w:hAnsi="仿宋" w:eastAsia="方正仿宋_GBK" w:cs="Times New Roman"/>
          <w:b w:val="0"/>
          <w:bCs w:val="0"/>
          <w:color w:val="auto"/>
          <w:sz w:val="32"/>
          <w:szCs w:val="32"/>
          <w:highlight w:val="none"/>
          <w:u w:val="none"/>
          <w:lang w:eastAsia="zh-CN"/>
        </w:rPr>
        <w:t>含）以下并实现同比正增长的，</w:t>
      </w:r>
      <w:r>
        <w:rPr>
          <w:rFonts w:hint="default" w:ascii="仿宋" w:hAnsi="仿宋" w:eastAsia="方正仿宋_GBK" w:cs="Times New Roman"/>
          <w:b w:val="0"/>
          <w:bCs w:val="0"/>
          <w:color w:val="auto"/>
          <w:sz w:val="32"/>
          <w:szCs w:val="32"/>
          <w:highlight w:val="none"/>
          <w:u w:val="none"/>
          <w:lang w:val="en-US" w:eastAsia="zh-CN"/>
        </w:rPr>
        <w:t>给予一次性</w:t>
      </w:r>
      <w:r>
        <w:rPr>
          <w:rFonts w:hint="default" w:ascii="仿宋" w:hAnsi="仿宋" w:eastAsia="方正仿宋_GBK" w:cs="Times New Roman"/>
          <w:b w:val="0"/>
          <w:bCs w:val="0"/>
          <w:color w:val="auto"/>
          <w:sz w:val="32"/>
          <w:szCs w:val="32"/>
          <w:highlight w:val="none"/>
          <w:u w:val="none"/>
          <w:lang w:eastAsia="zh-CN"/>
        </w:rPr>
        <w:t>5万元</w:t>
      </w:r>
      <w:r>
        <w:rPr>
          <w:rFonts w:hint="default" w:ascii="仿宋" w:hAnsi="仿宋" w:eastAsia="方正仿宋_GBK" w:cs="Times New Roman"/>
          <w:b w:val="0"/>
          <w:bCs w:val="0"/>
          <w:color w:val="auto"/>
          <w:sz w:val="32"/>
          <w:szCs w:val="32"/>
          <w:highlight w:val="none"/>
          <w:u w:val="none"/>
          <w:lang w:val="en-US" w:eastAsia="zh-CN"/>
        </w:rPr>
        <w:t>奖励</w:t>
      </w:r>
      <w:r>
        <w:rPr>
          <w:rFonts w:hint="default" w:ascii="仿宋" w:hAnsi="仿宋" w:eastAsia="方正仿宋_GBK" w:cs="Times New Roman"/>
          <w:b w:val="0"/>
          <w:bCs w:val="0"/>
          <w:color w:val="auto"/>
          <w:sz w:val="32"/>
          <w:szCs w:val="32"/>
          <w:highlight w:val="none"/>
          <w:u w:val="none"/>
          <w:lang w:eastAsia="zh-CN"/>
        </w:rPr>
        <w:t>；</w:t>
      </w:r>
      <w:r>
        <w:rPr>
          <w:rFonts w:hint="default" w:ascii="仿宋" w:hAnsi="仿宋" w:eastAsia="方正仿宋_GBK" w:cs="Times New Roman"/>
          <w:b w:val="0"/>
          <w:bCs w:val="0"/>
          <w:color w:val="auto"/>
          <w:sz w:val="32"/>
          <w:szCs w:val="32"/>
          <w:highlight w:val="none"/>
          <w:u w:val="none"/>
          <w:lang w:val="en-US" w:eastAsia="zh-CN"/>
        </w:rPr>
        <w:t>在此基础上，若</w:t>
      </w:r>
      <w:r>
        <w:rPr>
          <w:rFonts w:hint="default" w:ascii="仿宋" w:hAnsi="仿宋" w:eastAsia="方正仿宋_GBK" w:cs="Times New Roman"/>
          <w:b w:val="0"/>
          <w:bCs w:val="0"/>
          <w:color w:val="auto"/>
          <w:sz w:val="32"/>
          <w:szCs w:val="32"/>
          <w:highlight w:val="none"/>
          <w:u w:val="none"/>
          <w:lang w:eastAsia="zh-CN"/>
        </w:rPr>
        <w:t>同比增长20%以上，</w:t>
      </w:r>
      <w:r>
        <w:rPr>
          <w:rFonts w:hint="default" w:ascii="仿宋" w:hAnsi="仿宋" w:eastAsia="方正仿宋_GBK" w:cs="Times New Roman"/>
          <w:color w:val="auto"/>
          <w:sz w:val="32"/>
          <w:szCs w:val="32"/>
          <w:highlight w:val="none"/>
          <w:u w:val="none"/>
          <w:lang w:eastAsia="zh-CN"/>
        </w:rPr>
        <w:t>增加奖励</w:t>
      </w:r>
      <w:r>
        <w:rPr>
          <w:rFonts w:hint="default" w:ascii="仿宋" w:hAnsi="仿宋" w:eastAsia="方正仿宋_GBK" w:cs="Times New Roman"/>
          <w:color w:val="auto"/>
          <w:sz w:val="32"/>
          <w:szCs w:val="32"/>
          <w:highlight w:val="none"/>
          <w:u w:val="none"/>
          <w:lang w:val="en-US" w:eastAsia="zh-CN"/>
        </w:rPr>
        <w:t>5万元</w:t>
      </w:r>
      <w:r>
        <w:rPr>
          <w:rFonts w:hint="default" w:ascii="仿宋" w:hAnsi="仿宋" w:eastAsia="方正仿宋_GBK" w:cs="Times New Roman"/>
          <w:b w:val="0"/>
          <w:bCs w:val="0"/>
          <w:color w:val="auto"/>
          <w:sz w:val="32"/>
          <w:szCs w:val="32"/>
          <w:highlight w:val="none"/>
          <w:u w:val="none"/>
          <w:lang w:val="en-US" w:eastAsia="zh-CN"/>
        </w:rPr>
        <w:t>。</w:t>
      </w:r>
    </w:p>
    <w:p w14:paraId="6107EF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（六）对</w:t>
      </w:r>
      <w:r>
        <w:rPr>
          <w:rFonts w:hint="default" w:ascii="仿宋" w:hAnsi="仿宋" w:eastAsia="方正仿宋_GBK" w:cs="Times New Roman"/>
          <w:b w:val="0"/>
          <w:bCs w:val="0"/>
          <w:color w:val="auto"/>
          <w:sz w:val="32"/>
          <w:szCs w:val="32"/>
          <w:highlight w:val="none"/>
          <w:u w:val="none"/>
          <w:lang w:eastAsia="zh-CN"/>
        </w:rPr>
        <w:t>上年度年销售额达到5000万元（含）以上、1亿元（不含）以下并实现同比正增长的</w:t>
      </w:r>
      <w:r>
        <w:rPr>
          <w:rFonts w:hint="default" w:ascii="仿宋" w:hAnsi="仿宋" w:eastAsia="方正仿宋_GBK" w:cs="Times New Roman"/>
          <w:b w:val="0"/>
          <w:bCs w:val="0"/>
          <w:color w:val="auto"/>
          <w:sz w:val="32"/>
          <w:szCs w:val="32"/>
          <w:highlight w:val="none"/>
          <w:u w:val="none"/>
          <w:lang w:val="en-US" w:eastAsia="zh-CN"/>
        </w:rPr>
        <w:t xml:space="preserve"> </w:t>
      </w:r>
      <w:r>
        <w:rPr>
          <w:rFonts w:hint="default" w:ascii="仿宋" w:hAnsi="仿宋" w:eastAsia="方正仿宋_GBK" w:cs="Times New Roman"/>
          <w:b w:val="0"/>
          <w:bCs w:val="0"/>
          <w:color w:val="auto"/>
          <w:sz w:val="32"/>
          <w:szCs w:val="32"/>
          <w:highlight w:val="none"/>
          <w:u w:val="none"/>
          <w:lang w:eastAsia="zh-CN"/>
        </w:rPr>
        <w:t>，给予一次性</w:t>
      </w:r>
      <w:r>
        <w:rPr>
          <w:rFonts w:hint="default" w:ascii="仿宋" w:hAnsi="仿宋" w:eastAsia="方正仿宋_GBK" w:cs="Times New Roman"/>
          <w:b w:val="0"/>
          <w:bCs w:val="0"/>
          <w:color w:val="auto"/>
          <w:sz w:val="32"/>
          <w:szCs w:val="32"/>
          <w:highlight w:val="none"/>
          <w:u w:val="none"/>
          <w:lang w:val="en-US" w:eastAsia="zh-CN"/>
        </w:rPr>
        <w:t>10</w:t>
      </w:r>
      <w:r>
        <w:rPr>
          <w:rFonts w:hint="default" w:ascii="仿宋" w:hAnsi="仿宋" w:eastAsia="方正仿宋_GBK" w:cs="Times New Roman"/>
          <w:b w:val="0"/>
          <w:bCs w:val="0"/>
          <w:color w:val="auto"/>
          <w:sz w:val="32"/>
          <w:szCs w:val="32"/>
          <w:highlight w:val="none"/>
          <w:u w:val="none"/>
          <w:lang w:eastAsia="zh-CN"/>
        </w:rPr>
        <w:t>万元奖励；在此基础上，若同比增长20%以上，</w:t>
      </w:r>
      <w:r>
        <w:rPr>
          <w:rFonts w:hint="default" w:ascii="仿宋" w:hAnsi="仿宋" w:eastAsia="方正仿宋_GBK" w:cs="Times New Roman"/>
          <w:color w:val="auto"/>
          <w:sz w:val="32"/>
          <w:szCs w:val="32"/>
          <w:highlight w:val="none"/>
          <w:u w:val="none"/>
          <w:lang w:eastAsia="zh-CN"/>
        </w:rPr>
        <w:t>增加奖励</w:t>
      </w:r>
      <w:r>
        <w:rPr>
          <w:rFonts w:hint="default" w:ascii="仿宋" w:hAnsi="仿宋" w:eastAsia="方正仿宋_GBK" w:cs="Times New Roman"/>
          <w:color w:val="auto"/>
          <w:sz w:val="32"/>
          <w:szCs w:val="32"/>
          <w:highlight w:val="none"/>
          <w:u w:val="none"/>
          <w:lang w:val="en-US" w:eastAsia="zh-CN"/>
        </w:rPr>
        <w:t>10万元</w:t>
      </w:r>
      <w:r>
        <w:rPr>
          <w:rFonts w:hint="default" w:ascii="仿宋" w:hAnsi="仿宋" w:eastAsia="方正仿宋_GBK" w:cs="Times New Roman"/>
          <w:b w:val="0"/>
          <w:bCs w:val="0"/>
          <w:color w:val="auto"/>
          <w:sz w:val="32"/>
          <w:szCs w:val="32"/>
          <w:highlight w:val="none"/>
          <w:u w:val="none"/>
          <w:lang w:eastAsia="zh-CN"/>
        </w:rPr>
        <w:t>。</w:t>
      </w:r>
    </w:p>
    <w:p w14:paraId="40F8DD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（七）对</w:t>
      </w:r>
      <w:r>
        <w:rPr>
          <w:rFonts w:hint="default" w:ascii="仿宋" w:hAnsi="仿宋" w:eastAsia="方正仿宋_GBK" w:cs="Times New Roman"/>
          <w:b w:val="0"/>
          <w:bCs w:val="0"/>
          <w:color w:val="auto"/>
          <w:sz w:val="32"/>
          <w:szCs w:val="32"/>
          <w:highlight w:val="none"/>
          <w:u w:val="none"/>
          <w:lang w:eastAsia="zh-CN"/>
        </w:rPr>
        <w:t>上年度年销售额达到1亿元（含）以上并实现同比正增长的，给予一次性</w:t>
      </w:r>
      <w:r>
        <w:rPr>
          <w:rFonts w:hint="default" w:ascii="仿宋" w:hAnsi="仿宋" w:eastAsia="方正仿宋_GBK" w:cs="Times New Roman"/>
          <w:b w:val="0"/>
          <w:bCs w:val="0"/>
          <w:color w:val="auto"/>
          <w:sz w:val="32"/>
          <w:szCs w:val="32"/>
          <w:highlight w:val="none"/>
          <w:u w:val="none"/>
          <w:lang w:val="en-US" w:eastAsia="zh-CN"/>
        </w:rPr>
        <w:t>20</w:t>
      </w:r>
      <w:r>
        <w:rPr>
          <w:rFonts w:hint="default" w:ascii="仿宋" w:hAnsi="仿宋" w:eastAsia="方正仿宋_GBK" w:cs="Times New Roman"/>
          <w:b w:val="0"/>
          <w:bCs w:val="0"/>
          <w:color w:val="auto"/>
          <w:sz w:val="32"/>
          <w:szCs w:val="32"/>
          <w:highlight w:val="none"/>
          <w:u w:val="none"/>
          <w:lang w:eastAsia="zh-CN"/>
        </w:rPr>
        <w:t>万元奖励；在此基础上，若同比增长</w:t>
      </w:r>
      <w:r>
        <w:rPr>
          <w:rFonts w:hint="default" w:ascii="仿宋" w:hAnsi="仿宋" w:eastAsia="方正仿宋_GBK" w:cs="Times New Roman"/>
          <w:b w:val="0"/>
          <w:bCs w:val="0"/>
          <w:color w:val="auto"/>
          <w:sz w:val="32"/>
          <w:szCs w:val="32"/>
          <w:highlight w:val="none"/>
          <w:u w:val="none"/>
          <w:lang w:val="en-US" w:eastAsia="zh-CN"/>
        </w:rPr>
        <w:t>10</w:t>
      </w:r>
      <w:r>
        <w:rPr>
          <w:rFonts w:hint="default" w:ascii="仿宋" w:hAnsi="仿宋" w:eastAsia="方正仿宋_GBK" w:cs="Times New Roman"/>
          <w:b w:val="0"/>
          <w:bCs w:val="0"/>
          <w:color w:val="auto"/>
          <w:sz w:val="32"/>
          <w:szCs w:val="32"/>
          <w:highlight w:val="none"/>
          <w:u w:val="none"/>
          <w:lang w:eastAsia="zh-CN"/>
        </w:rPr>
        <w:t>%以上，增加奖励</w:t>
      </w:r>
      <w:r>
        <w:rPr>
          <w:rFonts w:hint="default" w:ascii="仿宋" w:hAnsi="仿宋" w:eastAsia="方正仿宋_GBK" w:cs="Times New Roman"/>
          <w:b w:val="0"/>
          <w:bCs w:val="0"/>
          <w:color w:val="auto"/>
          <w:sz w:val="32"/>
          <w:szCs w:val="32"/>
          <w:highlight w:val="none"/>
          <w:u w:val="none"/>
          <w:lang w:val="en-US" w:eastAsia="zh-CN"/>
        </w:rPr>
        <w:t>10万元</w:t>
      </w:r>
      <w:r>
        <w:rPr>
          <w:rFonts w:hint="default" w:ascii="仿宋" w:hAnsi="仿宋" w:eastAsia="方正仿宋_GBK" w:cs="Times New Roman"/>
          <w:b w:val="0"/>
          <w:bCs w:val="0"/>
          <w:color w:val="auto"/>
          <w:sz w:val="32"/>
          <w:szCs w:val="32"/>
          <w:highlight w:val="none"/>
          <w:u w:val="none"/>
          <w:lang w:eastAsia="zh-CN"/>
        </w:rPr>
        <w:t>。</w:t>
      </w:r>
    </w:p>
    <w:p w14:paraId="3E14E735">
      <w:pPr>
        <w:pStyle w:val="2"/>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bCs/>
          <w:color w:val="auto"/>
          <w:szCs w:val="32"/>
          <w:highlight w:val="none"/>
          <w:lang w:val="en-US" w:eastAsia="zh-CN"/>
        </w:rPr>
      </w:pPr>
      <w:r>
        <w:rPr>
          <w:rFonts w:hint="default" w:ascii="仿宋" w:hAnsi="仿宋" w:eastAsia="方正仿宋_GBK" w:cs="Times New Roman"/>
          <w:color w:val="auto"/>
          <w:sz w:val="32"/>
          <w:szCs w:val="32"/>
          <w:highlight w:val="none"/>
          <w:u w:val="none"/>
          <w:lang w:val="en-US" w:eastAsia="zh-CN"/>
        </w:rPr>
        <w:t>（八）</w:t>
      </w:r>
      <w:r>
        <w:rPr>
          <w:rFonts w:hint="default" w:ascii="仿宋" w:hAnsi="仿宋" w:eastAsia="方正仿宋_GBK" w:cs="Times New Roman"/>
          <w:color w:val="auto"/>
          <w:szCs w:val="32"/>
          <w:highlight w:val="none"/>
        </w:rPr>
        <w:t>对</w:t>
      </w:r>
      <w:r>
        <w:rPr>
          <w:rFonts w:hint="default" w:ascii="仿宋" w:hAnsi="仿宋" w:eastAsia="方正仿宋_GBK" w:cs="Times New Roman"/>
          <w:color w:val="auto"/>
          <w:szCs w:val="32"/>
          <w:highlight w:val="none"/>
          <w:lang w:eastAsia="zh-CN"/>
        </w:rPr>
        <w:t>上</w:t>
      </w:r>
      <w:r>
        <w:rPr>
          <w:rFonts w:hint="default" w:ascii="仿宋" w:hAnsi="仿宋" w:eastAsia="方正仿宋_GBK" w:cs="Times New Roman"/>
          <w:color w:val="auto"/>
          <w:szCs w:val="32"/>
          <w:highlight w:val="none"/>
        </w:rPr>
        <w:t>年度跨境电商交易额达1000万美元</w:t>
      </w:r>
      <w:r>
        <w:rPr>
          <w:rFonts w:hint="default" w:ascii="仿宋" w:hAnsi="仿宋" w:eastAsia="方正仿宋_GBK" w:cs="Times New Roman"/>
          <w:color w:val="auto"/>
          <w:szCs w:val="32"/>
          <w:highlight w:val="none"/>
          <w:lang w:eastAsia="zh-CN"/>
        </w:rPr>
        <w:t>且同比</w:t>
      </w:r>
      <w:r>
        <w:rPr>
          <w:rFonts w:hint="default" w:ascii="仿宋" w:hAnsi="仿宋" w:eastAsia="方正仿宋_GBK" w:cs="Times New Roman"/>
          <w:color w:val="auto"/>
          <w:szCs w:val="32"/>
          <w:highlight w:val="none"/>
        </w:rPr>
        <w:t>增长20%以上</w:t>
      </w:r>
      <w:r>
        <w:rPr>
          <w:rFonts w:hint="default" w:ascii="仿宋" w:hAnsi="仿宋" w:eastAsia="方正仿宋_GBK" w:cs="Times New Roman"/>
          <w:color w:val="auto"/>
          <w:szCs w:val="32"/>
          <w:highlight w:val="none"/>
          <w:lang w:eastAsia="zh-CN"/>
        </w:rPr>
        <w:t>（新企业除外）</w:t>
      </w:r>
      <w:r>
        <w:rPr>
          <w:rFonts w:hint="default" w:ascii="仿宋" w:hAnsi="仿宋" w:eastAsia="方正仿宋_GBK" w:cs="Times New Roman"/>
          <w:color w:val="auto"/>
          <w:szCs w:val="32"/>
          <w:highlight w:val="none"/>
        </w:rPr>
        <w:t>的跨境电商企业，</w:t>
      </w:r>
      <w:r>
        <w:rPr>
          <w:rFonts w:hint="default" w:ascii="仿宋" w:hAnsi="仿宋" w:eastAsia="方正仿宋_GBK" w:cs="Times New Roman"/>
          <w:color w:val="auto"/>
          <w:szCs w:val="32"/>
          <w:highlight w:val="none"/>
          <w:lang w:eastAsia="zh-CN"/>
        </w:rPr>
        <w:t>给予每家企业</w:t>
      </w:r>
      <w:r>
        <w:rPr>
          <w:rFonts w:hint="default" w:ascii="仿宋" w:hAnsi="仿宋" w:eastAsia="方正仿宋_GBK" w:cs="Times New Roman"/>
          <w:b w:val="0"/>
          <w:bCs w:val="0"/>
          <w:color w:val="auto"/>
          <w:sz w:val="32"/>
          <w:szCs w:val="32"/>
          <w:highlight w:val="none"/>
          <w:lang w:val="en-US" w:eastAsia="zh-CN"/>
        </w:rPr>
        <w:t>30万元资金奖励，</w:t>
      </w:r>
      <w:r>
        <w:rPr>
          <w:rFonts w:hint="default" w:ascii="仿宋" w:hAnsi="仿宋" w:eastAsia="方正仿宋_GBK" w:cs="Times New Roman"/>
          <w:color w:val="auto"/>
          <w:szCs w:val="32"/>
          <w:highlight w:val="none"/>
        </w:rPr>
        <w:t>年度</w:t>
      </w:r>
      <w:r>
        <w:rPr>
          <w:rFonts w:hint="default" w:ascii="仿宋" w:hAnsi="仿宋" w:eastAsia="方正仿宋_GBK" w:cs="Times New Roman"/>
          <w:color w:val="auto"/>
          <w:szCs w:val="32"/>
          <w:highlight w:val="none"/>
          <w:lang w:eastAsia="zh-CN"/>
        </w:rPr>
        <w:t>跨境电商交易</w:t>
      </w:r>
      <w:r>
        <w:rPr>
          <w:rFonts w:hint="default" w:ascii="仿宋" w:hAnsi="仿宋" w:eastAsia="方正仿宋_GBK" w:cs="Times New Roman"/>
          <w:color w:val="auto"/>
          <w:szCs w:val="32"/>
          <w:highlight w:val="none"/>
        </w:rPr>
        <w:t>额每增加1000万美元</w:t>
      </w:r>
      <w:r>
        <w:rPr>
          <w:rFonts w:hint="default" w:ascii="仿宋" w:hAnsi="仿宋" w:eastAsia="方正仿宋_GBK" w:cs="Times New Roman"/>
          <w:color w:val="auto"/>
          <w:szCs w:val="32"/>
          <w:highlight w:val="none"/>
          <w:lang w:eastAsia="zh-CN"/>
        </w:rPr>
        <w:t>（向下取整）</w:t>
      </w:r>
      <w:r>
        <w:rPr>
          <w:rFonts w:hint="default" w:ascii="仿宋" w:hAnsi="仿宋" w:eastAsia="方正仿宋_GBK" w:cs="Times New Roman"/>
          <w:color w:val="auto"/>
          <w:szCs w:val="32"/>
          <w:highlight w:val="none"/>
        </w:rPr>
        <w:t>，</w:t>
      </w:r>
      <w:r>
        <w:rPr>
          <w:rFonts w:hint="default" w:ascii="仿宋" w:hAnsi="仿宋" w:eastAsia="方正仿宋_GBK" w:cs="Times New Roman"/>
          <w:b w:val="0"/>
          <w:bCs w:val="0"/>
          <w:color w:val="auto"/>
          <w:sz w:val="32"/>
          <w:szCs w:val="32"/>
          <w:highlight w:val="none"/>
          <w:lang w:val="en-US" w:eastAsia="zh-CN"/>
        </w:rPr>
        <w:t>年度奖励增加10万元，每家企业每年最高奖励100万元。</w:t>
      </w:r>
    </w:p>
    <w:p w14:paraId="62A449DD">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四、扶持跨境电子商务载体发展</w:t>
      </w:r>
    </w:p>
    <w:p w14:paraId="1F26D0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lang w:eastAsia="zh-CN"/>
        </w:rPr>
      </w:pPr>
      <w:r>
        <w:rPr>
          <w:rFonts w:hint="default" w:ascii="仿宋" w:hAnsi="仿宋" w:eastAsia="方正仿宋_GBK" w:cs="Times New Roman"/>
          <w:color w:val="auto"/>
          <w:sz w:val="32"/>
          <w:szCs w:val="32"/>
          <w:highlight w:val="none"/>
          <w:u w:val="none"/>
          <w:lang w:val="en-US" w:eastAsia="zh-CN"/>
        </w:rPr>
        <w:t>（九）</w:t>
      </w:r>
      <w:r>
        <w:rPr>
          <w:rFonts w:hint="default" w:ascii="仿宋" w:hAnsi="仿宋" w:eastAsia="方正仿宋_GBK" w:cs="Times New Roman"/>
          <w:b w:val="0"/>
          <w:bCs w:val="0"/>
          <w:color w:val="auto"/>
          <w:spacing w:val="0"/>
          <w:sz w:val="32"/>
          <w:szCs w:val="32"/>
          <w:highlight w:val="none"/>
          <w:u w:val="none"/>
          <w:lang w:val="en-US" w:eastAsia="zh-CN"/>
        </w:rPr>
        <w:t>对在</w:t>
      </w:r>
      <w:r>
        <w:rPr>
          <w:rFonts w:hint="default" w:ascii="仿宋" w:hAnsi="仿宋" w:eastAsia="方正仿宋_GBK" w:cs="Times New Roman"/>
          <w:b w:val="0"/>
          <w:bCs w:val="0"/>
          <w:color w:val="auto"/>
          <w:spacing w:val="0"/>
          <w:sz w:val="32"/>
          <w:szCs w:val="32"/>
          <w:highlight w:val="none"/>
          <w:u w:val="none"/>
          <w:lang w:eastAsia="zh-CN"/>
        </w:rPr>
        <w:t>惠阳区</w:t>
      </w:r>
      <w:r>
        <w:rPr>
          <w:rFonts w:hint="default" w:ascii="仿宋" w:hAnsi="仿宋" w:eastAsia="方正仿宋_GBK" w:cs="Times New Roman"/>
          <w:b w:val="0"/>
          <w:bCs w:val="0"/>
          <w:color w:val="auto"/>
          <w:spacing w:val="0"/>
          <w:sz w:val="32"/>
          <w:szCs w:val="32"/>
          <w:highlight w:val="none"/>
          <w:u w:val="none"/>
          <w:lang w:val="en-US" w:eastAsia="zh-CN"/>
        </w:rPr>
        <w:t>跨境电商分拣清关中心经营清关业务的平台运营企业，按上年度清关查验设备投资额30%给予奖励，</w:t>
      </w:r>
      <w:r>
        <w:rPr>
          <w:rFonts w:hint="default" w:ascii="仿宋" w:hAnsi="仿宋" w:eastAsia="方正仿宋_GBK" w:cs="Times New Roman"/>
          <w:b w:val="0"/>
          <w:bCs w:val="0"/>
          <w:color w:val="auto"/>
          <w:spacing w:val="0"/>
          <w:sz w:val="32"/>
          <w:szCs w:val="32"/>
          <w:highlight w:val="none"/>
          <w:u w:val="none"/>
        </w:rPr>
        <w:t>单个企业</w:t>
      </w:r>
      <w:r>
        <w:rPr>
          <w:rFonts w:hint="default" w:ascii="仿宋" w:hAnsi="仿宋" w:eastAsia="方正仿宋_GBK" w:cs="Times New Roman"/>
          <w:b w:val="0"/>
          <w:bCs w:val="0"/>
          <w:color w:val="auto"/>
          <w:spacing w:val="0"/>
          <w:sz w:val="32"/>
          <w:szCs w:val="32"/>
          <w:highlight w:val="none"/>
          <w:u w:val="none"/>
          <w:lang w:eastAsia="zh-CN"/>
        </w:rPr>
        <w:t>奖励最高</w:t>
      </w:r>
      <w:r>
        <w:rPr>
          <w:rFonts w:hint="default" w:ascii="仿宋" w:hAnsi="仿宋" w:eastAsia="方正仿宋_GBK" w:cs="Times New Roman"/>
          <w:b w:val="0"/>
          <w:bCs w:val="0"/>
          <w:color w:val="auto"/>
          <w:spacing w:val="0"/>
          <w:sz w:val="32"/>
          <w:szCs w:val="32"/>
          <w:highlight w:val="none"/>
          <w:u w:val="none"/>
          <w:lang w:val="en-US" w:eastAsia="zh-CN"/>
        </w:rPr>
        <w:t>不超过50万元。</w:t>
      </w:r>
    </w:p>
    <w:p w14:paraId="25100C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方正仿宋_GBK" w:cs="Times New Roman"/>
          <w:b w:val="0"/>
          <w:bCs w:val="0"/>
          <w:color w:val="auto"/>
          <w:spacing w:val="0"/>
          <w:sz w:val="32"/>
          <w:szCs w:val="32"/>
          <w:highlight w:val="none"/>
          <w:u w:val="none"/>
        </w:rPr>
      </w:pPr>
      <w:r>
        <w:rPr>
          <w:rFonts w:hint="default" w:ascii="仿宋" w:hAnsi="仿宋" w:eastAsia="方正仿宋_GBK" w:cs="Times New Roman"/>
          <w:color w:val="auto"/>
          <w:sz w:val="32"/>
          <w:szCs w:val="32"/>
          <w:highlight w:val="none"/>
          <w:u w:val="none"/>
          <w:lang w:val="en-US" w:eastAsia="zh-CN"/>
        </w:rPr>
        <w:t>（十）</w:t>
      </w:r>
      <w:r>
        <w:rPr>
          <w:rFonts w:hint="default" w:ascii="仿宋" w:hAnsi="仿宋" w:eastAsia="方正仿宋_GBK" w:cs="Times New Roman"/>
          <w:b w:val="0"/>
          <w:bCs w:val="0"/>
          <w:color w:val="auto"/>
          <w:spacing w:val="0"/>
          <w:sz w:val="32"/>
          <w:szCs w:val="32"/>
          <w:highlight w:val="none"/>
          <w:u w:val="none"/>
        </w:rPr>
        <w:t>对在惠阳区跨境电商分拣清关中心经营清关业务的企业，按上年度实际清关货物价值的</w:t>
      </w:r>
      <w:r>
        <w:rPr>
          <w:rFonts w:hint="default" w:ascii="仿宋" w:hAnsi="仿宋" w:eastAsia="方正仿宋_GBK" w:cs="Times New Roman"/>
          <w:b w:val="0"/>
          <w:bCs w:val="0"/>
          <w:color w:val="auto"/>
          <w:spacing w:val="0"/>
          <w:sz w:val="32"/>
          <w:szCs w:val="32"/>
          <w:highlight w:val="none"/>
          <w:u w:val="none"/>
          <w:lang w:val="en-US" w:eastAsia="zh-CN"/>
        </w:rPr>
        <w:t>3</w:t>
      </w:r>
      <w:r>
        <w:rPr>
          <w:rFonts w:hint="default" w:ascii="仿宋" w:hAnsi="仿宋" w:eastAsia="方正仿宋_GBK" w:cs="Times New Roman"/>
          <w:b w:val="0"/>
          <w:bCs w:val="0"/>
          <w:color w:val="auto"/>
          <w:spacing w:val="0"/>
          <w:sz w:val="32"/>
          <w:szCs w:val="32"/>
          <w:highlight w:val="none"/>
          <w:u w:val="none"/>
          <w:lang w:eastAsia="zh-CN"/>
        </w:rPr>
        <w:t>‰</w:t>
      </w:r>
      <w:r>
        <w:rPr>
          <w:rFonts w:hint="default" w:ascii="仿宋" w:hAnsi="仿宋" w:eastAsia="方正仿宋_GBK" w:cs="Times New Roman"/>
          <w:b w:val="0"/>
          <w:bCs w:val="0"/>
          <w:color w:val="auto"/>
          <w:spacing w:val="0"/>
          <w:sz w:val="32"/>
          <w:szCs w:val="32"/>
          <w:highlight w:val="none"/>
          <w:u w:val="none"/>
        </w:rPr>
        <w:t>给予</w:t>
      </w:r>
      <w:r>
        <w:rPr>
          <w:rFonts w:hint="default" w:ascii="仿宋" w:hAnsi="仿宋" w:eastAsia="方正仿宋_GBK" w:cs="Times New Roman"/>
          <w:b w:val="0"/>
          <w:bCs w:val="0"/>
          <w:color w:val="auto"/>
          <w:spacing w:val="0"/>
          <w:sz w:val="32"/>
          <w:szCs w:val="32"/>
          <w:highlight w:val="none"/>
          <w:u w:val="none"/>
          <w:lang w:eastAsia="zh-CN"/>
        </w:rPr>
        <w:t>奖励</w:t>
      </w:r>
      <w:r>
        <w:rPr>
          <w:rFonts w:hint="default" w:ascii="仿宋" w:hAnsi="仿宋" w:eastAsia="方正仿宋_GBK" w:cs="Times New Roman"/>
          <w:b w:val="0"/>
          <w:bCs w:val="0"/>
          <w:color w:val="auto"/>
          <w:spacing w:val="0"/>
          <w:sz w:val="32"/>
          <w:szCs w:val="32"/>
          <w:highlight w:val="none"/>
          <w:u w:val="none"/>
        </w:rPr>
        <w:t>，单个企业</w:t>
      </w:r>
      <w:r>
        <w:rPr>
          <w:rFonts w:hint="default" w:ascii="仿宋" w:hAnsi="仿宋" w:eastAsia="方正仿宋_GBK" w:cs="Times New Roman"/>
          <w:b w:val="0"/>
          <w:bCs w:val="0"/>
          <w:color w:val="auto"/>
          <w:spacing w:val="0"/>
          <w:sz w:val="32"/>
          <w:szCs w:val="32"/>
          <w:highlight w:val="none"/>
          <w:u w:val="none"/>
          <w:lang w:eastAsia="zh-CN"/>
        </w:rPr>
        <w:t>奖励最高</w:t>
      </w:r>
      <w:r>
        <w:rPr>
          <w:rFonts w:hint="default" w:ascii="仿宋" w:hAnsi="仿宋" w:eastAsia="方正仿宋_GBK" w:cs="Times New Roman"/>
          <w:b w:val="0"/>
          <w:bCs w:val="0"/>
          <w:color w:val="auto"/>
          <w:spacing w:val="0"/>
          <w:sz w:val="32"/>
          <w:szCs w:val="32"/>
          <w:highlight w:val="none"/>
          <w:u w:val="none"/>
        </w:rPr>
        <w:t>不超过</w:t>
      </w:r>
      <w:r>
        <w:rPr>
          <w:rFonts w:hint="default" w:ascii="仿宋" w:hAnsi="仿宋" w:eastAsia="方正仿宋_GBK" w:cs="Times New Roman"/>
          <w:b w:val="0"/>
          <w:bCs w:val="0"/>
          <w:color w:val="auto"/>
          <w:spacing w:val="0"/>
          <w:sz w:val="32"/>
          <w:szCs w:val="32"/>
          <w:highlight w:val="none"/>
          <w:u w:val="none"/>
          <w:lang w:val="en-US" w:eastAsia="zh-CN"/>
        </w:rPr>
        <w:t>150</w:t>
      </w:r>
      <w:r>
        <w:rPr>
          <w:rFonts w:hint="default" w:ascii="仿宋" w:hAnsi="仿宋" w:eastAsia="方正仿宋_GBK" w:cs="Times New Roman"/>
          <w:b w:val="0"/>
          <w:bCs w:val="0"/>
          <w:color w:val="auto"/>
          <w:spacing w:val="0"/>
          <w:sz w:val="32"/>
          <w:szCs w:val="32"/>
          <w:highlight w:val="none"/>
          <w:u w:val="none"/>
        </w:rPr>
        <w:t>万元。</w:t>
      </w:r>
    </w:p>
    <w:p w14:paraId="1D3E19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黑体_GBK" w:cs="Times New Roman"/>
          <w:b w:val="0"/>
          <w:bCs w:val="0"/>
          <w:color w:val="auto"/>
          <w:sz w:val="32"/>
          <w:szCs w:val="32"/>
          <w:highlight w:val="none"/>
        </w:rPr>
      </w:pPr>
      <w:r>
        <w:rPr>
          <w:rFonts w:hint="default" w:ascii="仿宋" w:hAnsi="仿宋" w:eastAsia="方正黑体_GBK" w:cs="Times New Roman"/>
          <w:b w:val="0"/>
          <w:bCs w:val="0"/>
          <w:color w:val="auto"/>
          <w:sz w:val="32"/>
          <w:szCs w:val="32"/>
          <w:highlight w:val="none"/>
          <w:lang w:val="en-US" w:eastAsia="zh-CN"/>
        </w:rPr>
        <w:t>五、</w:t>
      </w:r>
      <w:r>
        <w:rPr>
          <w:rFonts w:hint="default" w:ascii="仿宋" w:hAnsi="仿宋" w:eastAsia="方正黑体_GBK" w:cs="Times New Roman"/>
          <w:b w:val="0"/>
          <w:bCs w:val="0"/>
          <w:color w:val="auto"/>
          <w:sz w:val="32"/>
          <w:szCs w:val="32"/>
          <w:highlight w:val="none"/>
        </w:rPr>
        <w:t>支持</w:t>
      </w:r>
      <w:r>
        <w:rPr>
          <w:rFonts w:hint="default" w:ascii="仿宋" w:hAnsi="仿宋" w:eastAsia="方正黑体_GBK" w:cs="Times New Roman"/>
          <w:b w:val="0"/>
          <w:bCs w:val="0"/>
          <w:color w:val="auto"/>
          <w:sz w:val="32"/>
          <w:szCs w:val="32"/>
          <w:highlight w:val="none"/>
          <w:lang w:eastAsia="zh-CN"/>
        </w:rPr>
        <w:t>跨境电商海外仓建设及运用</w:t>
      </w:r>
    </w:p>
    <w:p w14:paraId="228C6E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z w:val="32"/>
          <w:szCs w:val="32"/>
          <w:highlight w:val="none"/>
          <w:lang w:val="en-US"/>
        </w:rPr>
      </w:pPr>
      <w:r>
        <w:rPr>
          <w:rFonts w:hint="default" w:ascii="仿宋" w:hAnsi="仿宋" w:eastAsia="方正仿宋_GBK" w:cs="Times New Roman"/>
          <w:b w:val="0"/>
          <w:bCs w:val="0"/>
          <w:color w:val="auto"/>
          <w:sz w:val="32"/>
          <w:szCs w:val="32"/>
          <w:highlight w:val="none"/>
          <w:lang w:eastAsia="zh-CN"/>
        </w:rPr>
        <w:t>（十一）</w:t>
      </w:r>
      <w:r>
        <w:rPr>
          <w:rFonts w:hint="default" w:ascii="仿宋" w:hAnsi="仿宋" w:eastAsia="方正仿宋_GBK" w:cs="Times New Roman"/>
          <w:b w:val="0"/>
          <w:bCs w:val="0"/>
          <w:color w:val="auto"/>
          <w:sz w:val="32"/>
          <w:szCs w:val="32"/>
          <w:highlight w:val="none"/>
        </w:rPr>
        <w:t>对企业以自建、租用等方式提供跨境电商产品中转、存储等海外仓服务，运营面积超过1000平方米，</w:t>
      </w:r>
      <w:r>
        <w:rPr>
          <w:rFonts w:hint="default" w:ascii="仿宋" w:hAnsi="仿宋" w:eastAsia="方正仿宋_GBK" w:cs="Times New Roman"/>
          <w:b w:val="0"/>
          <w:bCs w:val="0"/>
          <w:color w:val="auto"/>
          <w:sz w:val="32"/>
          <w:szCs w:val="32"/>
          <w:highlight w:val="none"/>
          <w:lang w:eastAsia="zh-CN"/>
        </w:rPr>
        <w:t>服务企业数量达到</w:t>
      </w:r>
      <w:r>
        <w:rPr>
          <w:rFonts w:hint="default" w:ascii="仿宋" w:hAnsi="仿宋" w:eastAsia="方正仿宋_GBK" w:cs="Times New Roman"/>
          <w:b w:val="0"/>
          <w:bCs w:val="0"/>
          <w:color w:val="auto"/>
          <w:sz w:val="32"/>
          <w:szCs w:val="32"/>
          <w:highlight w:val="none"/>
          <w:lang w:val="en-US" w:eastAsia="zh-CN"/>
        </w:rPr>
        <w:t>5家，</w:t>
      </w:r>
      <w:r>
        <w:rPr>
          <w:rFonts w:hint="default" w:ascii="仿宋" w:hAnsi="仿宋" w:eastAsia="方正仿宋_GBK" w:cs="Times New Roman"/>
          <w:b w:val="0"/>
          <w:bCs w:val="0"/>
          <w:color w:val="auto"/>
          <w:sz w:val="32"/>
          <w:szCs w:val="32"/>
          <w:highlight w:val="none"/>
        </w:rPr>
        <w:t>且年跨境电商</w:t>
      </w:r>
      <w:r>
        <w:rPr>
          <w:rFonts w:hint="default" w:ascii="仿宋" w:hAnsi="仿宋" w:eastAsia="方正仿宋_GBK" w:cs="Times New Roman"/>
          <w:b w:val="0"/>
          <w:bCs w:val="0"/>
          <w:color w:val="auto"/>
          <w:sz w:val="32"/>
          <w:szCs w:val="32"/>
          <w:highlight w:val="none"/>
          <w:lang w:eastAsia="zh-CN"/>
        </w:rPr>
        <w:t>贸易规模达到</w:t>
      </w:r>
      <w:r>
        <w:rPr>
          <w:rFonts w:hint="default" w:ascii="仿宋" w:hAnsi="仿宋" w:eastAsia="方正仿宋_GBK" w:cs="Times New Roman"/>
          <w:b w:val="0"/>
          <w:bCs w:val="0"/>
          <w:color w:val="auto"/>
          <w:sz w:val="32"/>
          <w:szCs w:val="32"/>
          <w:highlight w:val="none"/>
          <w:lang w:val="en-US" w:eastAsia="zh-CN"/>
        </w:rPr>
        <w:t>2</w:t>
      </w:r>
      <w:r>
        <w:rPr>
          <w:rFonts w:hint="default" w:ascii="仿宋" w:hAnsi="仿宋" w:eastAsia="方正仿宋_GBK" w:cs="Times New Roman"/>
          <w:b w:val="0"/>
          <w:bCs w:val="0"/>
          <w:color w:val="auto"/>
          <w:sz w:val="32"/>
          <w:szCs w:val="32"/>
          <w:highlight w:val="none"/>
        </w:rPr>
        <w:t>000万美元，</w:t>
      </w:r>
      <w:r>
        <w:rPr>
          <w:rFonts w:hint="default" w:ascii="仿宋" w:hAnsi="仿宋" w:eastAsia="方正仿宋_GBK" w:cs="Times New Roman"/>
          <w:b w:val="0"/>
          <w:bCs w:val="0"/>
          <w:color w:val="auto"/>
          <w:spacing w:val="0"/>
          <w:sz w:val="32"/>
          <w:szCs w:val="32"/>
          <w:highlight w:val="none"/>
          <w:u w:val="none"/>
        </w:rPr>
        <w:t>单个</w:t>
      </w:r>
      <w:r>
        <w:rPr>
          <w:rFonts w:hint="default" w:ascii="仿宋" w:hAnsi="仿宋" w:eastAsia="方正仿宋_GBK" w:cs="Times New Roman"/>
          <w:color w:val="auto"/>
          <w:sz w:val="32"/>
          <w:szCs w:val="32"/>
          <w:highlight w:val="none"/>
          <w:lang w:val="en-US" w:eastAsia="zh-CN"/>
        </w:rPr>
        <w:t>企业</w:t>
      </w:r>
      <w:r>
        <w:rPr>
          <w:rFonts w:hint="default" w:ascii="仿宋" w:hAnsi="仿宋" w:eastAsia="方正仿宋_GBK" w:cs="Times New Roman"/>
          <w:color w:val="auto"/>
          <w:sz w:val="32"/>
          <w:szCs w:val="32"/>
          <w:highlight w:val="none"/>
          <w:lang w:eastAsia="zh-CN"/>
        </w:rPr>
        <w:t>奖励</w:t>
      </w:r>
      <w:r>
        <w:rPr>
          <w:rFonts w:hint="default" w:ascii="仿宋" w:hAnsi="仿宋" w:eastAsia="方正仿宋_GBK" w:cs="Times New Roman"/>
          <w:b w:val="0"/>
          <w:bCs w:val="0"/>
          <w:color w:val="auto"/>
          <w:spacing w:val="0"/>
          <w:sz w:val="32"/>
          <w:szCs w:val="32"/>
          <w:highlight w:val="none"/>
          <w:u w:val="none"/>
          <w:lang w:eastAsia="zh-CN"/>
        </w:rPr>
        <w:t>最高</w:t>
      </w:r>
      <w:r>
        <w:rPr>
          <w:rFonts w:hint="default" w:ascii="仿宋" w:hAnsi="仿宋" w:eastAsia="方正仿宋_GBK" w:cs="Times New Roman"/>
          <w:color w:val="auto"/>
          <w:sz w:val="32"/>
          <w:szCs w:val="32"/>
          <w:highlight w:val="none"/>
          <w:lang w:val="en-US" w:eastAsia="zh-CN"/>
        </w:rPr>
        <w:t>不超过15万元。</w:t>
      </w:r>
    </w:p>
    <w:p w14:paraId="2C478D1B">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六、支持电子商务行业协会举办活动</w:t>
      </w:r>
    </w:p>
    <w:p w14:paraId="71614DF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left="0" w:leftChars="0" w:firstLine="640" w:firstLineChars="200"/>
        <w:jc w:val="both"/>
        <w:textAlignment w:val="auto"/>
        <w:rPr>
          <w:rFonts w:hint="default" w:ascii="仿宋" w:hAnsi="仿宋" w:eastAsia="方正楷体_GBK" w:cs="Times New Roman"/>
          <w:b w:val="0"/>
          <w:bCs w:val="0"/>
          <w:color w:val="auto"/>
          <w:kern w:val="2"/>
          <w:sz w:val="32"/>
          <w:szCs w:val="32"/>
          <w:highlight w:val="none"/>
          <w:lang w:val="en-US" w:eastAsia="zh-CN" w:bidi="ar-SA"/>
        </w:rPr>
      </w:pPr>
      <w:r>
        <w:rPr>
          <w:rFonts w:hint="default" w:ascii="仿宋" w:hAnsi="仿宋" w:eastAsia="方正仿宋_GBK" w:cs="Times New Roman"/>
          <w:b w:val="0"/>
          <w:bCs w:val="0"/>
          <w:color w:val="auto"/>
          <w:spacing w:val="0"/>
          <w:sz w:val="32"/>
          <w:szCs w:val="32"/>
          <w:highlight w:val="none"/>
          <w:u w:val="none"/>
          <w:lang w:val="en-US" w:eastAsia="zh-CN"/>
        </w:rPr>
        <w:t>（十二）鼓励电商行业协会在我区开展电商课题研究、合作交流活动、论坛峰会等，相关活动方案经区工业和信息化局提前备案。</w:t>
      </w:r>
      <w:r>
        <w:rPr>
          <w:rFonts w:hint="default" w:ascii="仿宋" w:hAnsi="仿宋" w:eastAsia="方正仿宋_GBK" w:cs="Times New Roman"/>
          <w:b w:val="0"/>
          <w:bCs w:val="0"/>
          <w:color w:val="auto"/>
          <w:sz w:val="32"/>
          <w:szCs w:val="32"/>
          <w:highlight w:val="none"/>
          <w:lang w:eastAsia="zh-CN"/>
        </w:rPr>
        <w:t>依据审定实际投入资金给予不超过</w:t>
      </w:r>
      <w:r>
        <w:rPr>
          <w:rFonts w:hint="default" w:ascii="仿宋" w:hAnsi="仿宋" w:eastAsia="方正仿宋_GBK" w:cs="Times New Roman"/>
          <w:b w:val="0"/>
          <w:bCs w:val="0"/>
          <w:color w:val="auto"/>
          <w:sz w:val="32"/>
          <w:szCs w:val="32"/>
          <w:highlight w:val="none"/>
          <w:lang w:val="en-US" w:eastAsia="zh-CN"/>
        </w:rPr>
        <w:t>50%的资金支持</w:t>
      </w:r>
      <w:r>
        <w:rPr>
          <w:rFonts w:hint="default" w:ascii="仿宋" w:hAnsi="仿宋" w:eastAsia="方正仿宋_GBK" w:cs="Times New Roman"/>
          <w:b w:val="0"/>
          <w:bCs w:val="0"/>
          <w:color w:val="auto"/>
          <w:sz w:val="32"/>
          <w:szCs w:val="32"/>
          <w:highlight w:val="none"/>
          <w:lang w:eastAsia="zh-CN"/>
        </w:rPr>
        <w:t>，</w:t>
      </w:r>
      <w:r>
        <w:rPr>
          <w:rFonts w:hint="default" w:ascii="仿宋" w:hAnsi="仿宋" w:eastAsia="方正仿宋_GBK" w:cs="Times New Roman"/>
          <w:b w:val="0"/>
          <w:bCs w:val="0"/>
          <w:color w:val="auto"/>
          <w:sz w:val="32"/>
          <w:szCs w:val="32"/>
          <w:highlight w:val="none"/>
        </w:rPr>
        <w:t>每个</w:t>
      </w:r>
      <w:r>
        <w:rPr>
          <w:rFonts w:hint="default" w:ascii="仿宋" w:hAnsi="仿宋" w:eastAsia="方正仿宋_GBK" w:cs="Times New Roman"/>
          <w:b w:val="0"/>
          <w:bCs w:val="0"/>
          <w:color w:val="auto"/>
          <w:sz w:val="32"/>
          <w:szCs w:val="32"/>
          <w:highlight w:val="none"/>
          <w:lang w:eastAsia="zh-CN"/>
        </w:rPr>
        <w:t>电商协会</w:t>
      </w:r>
      <w:r>
        <w:rPr>
          <w:rFonts w:hint="default" w:ascii="仿宋" w:hAnsi="仿宋" w:eastAsia="方正仿宋_GBK" w:cs="Times New Roman"/>
          <w:b w:val="0"/>
          <w:bCs w:val="0"/>
          <w:color w:val="auto"/>
          <w:spacing w:val="0"/>
          <w:sz w:val="32"/>
          <w:szCs w:val="32"/>
          <w:highlight w:val="none"/>
          <w:u w:val="none"/>
          <w:lang w:val="en-US" w:eastAsia="zh-CN"/>
        </w:rPr>
        <w:t>每年奖励金额不超过30万元。</w:t>
      </w:r>
    </w:p>
    <w:p w14:paraId="7B55B689">
      <w:pPr>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80" w:lineRule="exact"/>
        <w:ind w:left="0" w:leftChars="0" w:firstLine="640" w:firstLineChars="200"/>
        <w:jc w:val="both"/>
        <w:textAlignment w:val="auto"/>
        <w:rPr>
          <w:rFonts w:hint="default" w:ascii="仿宋" w:hAnsi="仿宋" w:eastAsia="方正黑体_GBK" w:cs="Times New Roman"/>
          <w:b w:val="0"/>
          <w:bCs w:val="0"/>
          <w:color w:val="auto"/>
          <w:kern w:val="2"/>
          <w:sz w:val="32"/>
          <w:szCs w:val="32"/>
          <w:highlight w:val="none"/>
          <w:lang w:val="en-US" w:eastAsia="zh-CN" w:bidi="ar-SA"/>
        </w:rPr>
      </w:pPr>
      <w:r>
        <w:rPr>
          <w:rFonts w:hint="default" w:ascii="仿宋" w:hAnsi="仿宋" w:eastAsia="方正黑体_GBK" w:cs="Times New Roman"/>
          <w:b w:val="0"/>
          <w:bCs w:val="0"/>
          <w:color w:val="auto"/>
          <w:kern w:val="2"/>
          <w:sz w:val="32"/>
          <w:szCs w:val="32"/>
          <w:highlight w:val="none"/>
          <w:lang w:val="en-US" w:eastAsia="zh-CN" w:bidi="ar-SA"/>
        </w:rPr>
        <w:t>七、支持</w:t>
      </w:r>
      <w:r>
        <w:rPr>
          <w:rFonts w:hint="default" w:ascii="仿宋" w:hAnsi="仿宋" w:eastAsia="方正黑体_GBK" w:cs="Times New Roman"/>
          <w:b w:val="0"/>
          <w:bCs w:val="0"/>
          <w:color w:val="auto"/>
          <w:sz w:val="32"/>
          <w:szCs w:val="32"/>
          <w:highlight w:val="none"/>
        </w:rPr>
        <w:t>跨境电商</w:t>
      </w:r>
      <w:r>
        <w:rPr>
          <w:rFonts w:hint="default" w:ascii="仿宋" w:hAnsi="仿宋" w:eastAsia="方正黑体_GBK" w:cs="Times New Roman"/>
          <w:b w:val="0"/>
          <w:bCs w:val="0"/>
          <w:color w:val="auto"/>
          <w:kern w:val="2"/>
          <w:sz w:val="32"/>
          <w:szCs w:val="32"/>
          <w:highlight w:val="none"/>
          <w:lang w:val="en-US" w:eastAsia="zh-CN" w:bidi="ar-SA"/>
        </w:rPr>
        <w:t>产业园区建设</w:t>
      </w:r>
    </w:p>
    <w:p w14:paraId="0AB97399">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eastAsia" w:ascii="仿宋" w:hAnsi="仿宋" w:eastAsia="方正仿宋_GBK" w:cs="方正仿宋_GBK"/>
          <w:color w:val="auto"/>
          <w:sz w:val="32"/>
          <w:szCs w:val="32"/>
          <w:highlight w:val="none"/>
          <w:u w:val="none"/>
          <w:lang w:val="en-US" w:eastAsia="zh-CN"/>
        </w:rPr>
        <w:t>（十三）</w:t>
      </w:r>
      <w:r>
        <w:rPr>
          <w:rFonts w:hint="eastAsia" w:ascii="仿宋" w:hAnsi="仿宋" w:eastAsia="方正仿宋_GBK" w:cs="方正仿宋_GBK"/>
          <w:b w:val="0"/>
          <w:bCs w:val="0"/>
          <w:color w:val="auto"/>
          <w:spacing w:val="0"/>
          <w:sz w:val="32"/>
          <w:szCs w:val="32"/>
          <w:highlight w:val="none"/>
          <w:u w:val="none"/>
          <w:lang w:val="en-US" w:eastAsia="zh-CN"/>
        </w:rPr>
        <w:t>对惠阳区内</w:t>
      </w:r>
      <w:r>
        <w:rPr>
          <w:rFonts w:hint="eastAsia" w:ascii="仿宋" w:hAnsi="仿宋" w:eastAsia="方正仿宋_GBK" w:cs="方正仿宋_GBK"/>
          <w:b w:val="0"/>
          <w:bCs w:val="0"/>
          <w:color w:val="auto"/>
          <w:sz w:val="32"/>
          <w:szCs w:val="32"/>
          <w:highlight w:val="none"/>
        </w:rPr>
        <w:t>跨境电商</w:t>
      </w:r>
      <w:r>
        <w:rPr>
          <w:rFonts w:hint="eastAsia" w:ascii="仿宋" w:hAnsi="仿宋" w:eastAsia="方正仿宋_GBK" w:cs="方正仿宋_GBK"/>
          <w:b w:val="0"/>
          <w:bCs w:val="0"/>
          <w:color w:val="auto"/>
          <w:spacing w:val="0"/>
          <w:sz w:val="32"/>
          <w:szCs w:val="32"/>
          <w:highlight w:val="none"/>
          <w:u w:val="none"/>
          <w:lang w:val="en-US" w:eastAsia="zh-CN"/>
        </w:rPr>
        <w:t>产业园区</w:t>
      </w:r>
      <w:r>
        <w:rPr>
          <w:rFonts w:hint="default" w:ascii="仿宋" w:hAnsi="仿宋" w:eastAsia="方正仿宋_GBK" w:cs="Times New Roman"/>
          <w:b w:val="0"/>
          <w:bCs w:val="0"/>
          <w:color w:val="auto"/>
          <w:spacing w:val="0"/>
          <w:sz w:val="32"/>
          <w:szCs w:val="32"/>
          <w:highlight w:val="none"/>
          <w:u w:val="none"/>
          <w:lang w:val="en-US" w:eastAsia="zh-CN"/>
        </w:rPr>
        <w:t>进行硬件升级改造（含配套设施）面积达到4万平方米（含）以上、</w:t>
      </w:r>
      <w:r>
        <w:rPr>
          <w:rFonts w:hint="default" w:ascii="仿宋" w:hAnsi="仿宋" w:eastAsia="方正仿宋_GBK" w:cs="Times New Roman"/>
          <w:color w:val="auto"/>
          <w:sz w:val="32"/>
          <w:szCs w:val="32"/>
          <w:highlight w:val="none"/>
        </w:rPr>
        <w:t>园区入驻企业总数达到</w:t>
      </w:r>
      <w:r>
        <w:rPr>
          <w:rFonts w:hint="default" w:ascii="仿宋" w:hAnsi="仿宋" w:eastAsia="方正仿宋_GBK" w:cs="Times New Roman"/>
          <w:color w:val="auto"/>
          <w:sz w:val="32"/>
          <w:szCs w:val="32"/>
          <w:highlight w:val="none"/>
          <w:lang w:val="en-US" w:eastAsia="zh-CN"/>
        </w:rPr>
        <w:t>30</w:t>
      </w:r>
      <w:r>
        <w:rPr>
          <w:rFonts w:hint="default" w:ascii="仿宋" w:hAnsi="仿宋" w:eastAsia="方正仿宋_GBK" w:cs="Times New Roman"/>
          <w:color w:val="auto"/>
          <w:sz w:val="32"/>
          <w:szCs w:val="32"/>
          <w:highlight w:val="none"/>
        </w:rPr>
        <w:t>家以上</w:t>
      </w:r>
      <w:r>
        <w:rPr>
          <w:rFonts w:hint="default" w:ascii="仿宋" w:hAnsi="仿宋" w:eastAsia="方正仿宋_GBK" w:cs="Times New Roman"/>
          <w:color w:val="auto"/>
          <w:sz w:val="32"/>
          <w:szCs w:val="32"/>
          <w:highlight w:val="none"/>
          <w:lang w:eastAsia="zh-CN"/>
        </w:rPr>
        <w:t>，</w:t>
      </w:r>
      <w:r>
        <w:rPr>
          <w:rFonts w:hint="default" w:ascii="仿宋" w:hAnsi="仿宋" w:eastAsia="方正仿宋_GBK" w:cs="Times New Roman"/>
          <w:color w:val="auto"/>
          <w:sz w:val="32"/>
          <w:szCs w:val="32"/>
          <w:highlight w:val="none"/>
        </w:rPr>
        <w:t>其中入驻园区的跨境电商企业</w:t>
      </w:r>
      <w:r>
        <w:rPr>
          <w:rFonts w:hint="default" w:ascii="仿宋" w:hAnsi="仿宋" w:eastAsia="方正仿宋_GBK" w:cs="Times New Roman"/>
          <w:color w:val="auto"/>
          <w:sz w:val="32"/>
          <w:szCs w:val="32"/>
          <w:highlight w:val="none"/>
          <w:lang w:val="en"/>
        </w:rPr>
        <w:t>（</w:t>
      </w:r>
      <w:r>
        <w:rPr>
          <w:rFonts w:hint="default" w:ascii="仿宋" w:hAnsi="仿宋" w:eastAsia="方正仿宋_GBK" w:cs="Times New Roman"/>
          <w:color w:val="auto"/>
          <w:sz w:val="32"/>
          <w:szCs w:val="32"/>
          <w:highlight w:val="none"/>
        </w:rPr>
        <w:t>包括平台型企业、交易型企业及服务型企业等</w:t>
      </w:r>
      <w:r>
        <w:rPr>
          <w:rFonts w:hint="default" w:ascii="仿宋" w:hAnsi="仿宋" w:eastAsia="方正仿宋_GBK" w:cs="Times New Roman"/>
          <w:color w:val="auto"/>
          <w:sz w:val="32"/>
          <w:szCs w:val="32"/>
          <w:highlight w:val="none"/>
          <w:lang w:val="en"/>
        </w:rPr>
        <w:t>）</w:t>
      </w:r>
      <w:r>
        <w:rPr>
          <w:rFonts w:hint="default" w:ascii="仿宋" w:hAnsi="仿宋" w:eastAsia="方正仿宋_GBK" w:cs="Times New Roman"/>
          <w:color w:val="auto"/>
          <w:sz w:val="32"/>
          <w:szCs w:val="32"/>
          <w:highlight w:val="none"/>
        </w:rPr>
        <w:t>不少于</w:t>
      </w:r>
      <w:r>
        <w:rPr>
          <w:rFonts w:hint="default" w:ascii="仿宋" w:hAnsi="仿宋" w:eastAsia="方正仿宋_GBK" w:cs="Times New Roman"/>
          <w:color w:val="auto"/>
          <w:sz w:val="32"/>
          <w:szCs w:val="32"/>
          <w:highlight w:val="none"/>
          <w:lang w:val="en-US" w:eastAsia="zh-CN"/>
        </w:rPr>
        <w:t>20</w:t>
      </w:r>
      <w:r>
        <w:rPr>
          <w:rFonts w:hint="default" w:ascii="仿宋" w:hAnsi="仿宋" w:eastAsia="方正仿宋_GBK" w:cs="Times New Roman"/>
          <w:color w:val="auto"/>
          <w:sz w:val="32"/>
          <w:szCs w:val="32"/>
          <w:highlight w:val="none"/>
        </w:rPr>
        <w:t>家</w:t>
      </w:r>
      <w:r>
        <w:rPr>
          <w:rFonts w:hint="default" w:ascii="仿宋" w:hAnsi="仿宋" w:eastAsia="方正仿宋_GBK" w:cs="Times New Roman"/>
          <w:color w:val="auto"/>
          <w:sz w:val="32"/>
          <w:szCs w:val="32"/>
          <w:highlight w:val="none"/>
          <w:lang w:val="en" w:eastAsia="zh-CN"/>
        </w:rPr>
        <w:t>，</w:t>
      </w:r>
      <w:r>
        <w:rPr>
          <w:rFonts w:hint="default" w:ascii="仿宋" w:hAnsi="仿宋" w:eastAsia="方正仿宋_GBK" w:cs="Times New Roman"/>
          <w:b w:val="0"/>
          <w:bCs w:val="0"/>
          <w:color w:val="auto"/>
          <w:spacing w:val="0"/>
          <w:sz w:val="32"/>
          <w:szCs w:val="32"/>
          <w:highlight w:val="none"/>
          <w:u w:val="none"/>
          <w:lang w:val="en-US" w:eastAsia="zh-CN"/>
        </w:rPr>
        <w:t>且年度跨境电商交易额达到5000万美元（含）的，对园区运营主体给予资金支持，按照硬件升级改造总投入的50%给予资金奖励，单个园区累计奖励不超过500万元。</w:t>
      </w:r>
    </w:p>
    <w:p w14:paraId="30F8EFA4">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pacing w:val="0"/>
          <w:sz w:val="32"/>
          <w:szCs w:val="32"/>
          <w:highlight w:val="none"/>
          <w:u w:val="none"/>
          <w:lang w:val="en-US" w:eastAsia="zh-CN"/>
        </w:rPr>
        <w:t>（十四）对入驻跨境电商产业园区经营一年以上且主营业务为跨境电商、货代、报关、金融、财会、市场开拓、业务运营、人才培养等电子商务关联业务的企业，每年按照6元/月/平方米的标准给予连续两个年度租金补贴。</w:t>
      </w:r>
    </w:p>
    <w:p w14:paraId="3E7988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楷体_GBK" w:cs="Times New Roman"/>
          <w:b w:val="0"/>
          <w:bCs w:val="0"/>
          <w:color w:val="auto"/>
          <w:sz w:val="32"/>
          <w:szCs w:val="32"/>
          <w:highlight w:val="none"/>
          <w:lang w:val="en"/>
        </w:rPr>
      </w:pPr>
      <w:r>
        <w:rPr>
          <w:rFonts w:hint="default" w:ascii="仿宋" w:hAnsi="仿宋" w:eastAsia="方正黑体_GBK" w:cs="Times New Roman"/>
          <w:color w:val="auto"/>
          <w:sz w:val="32"/>
          <w:szCs w:val="32"/>
          <w:highlight w:val="none"/>
          <w:u w:val="none"/>
          <w:lang w:val="en-US" w:eastAsia="zh-CN"/>
        </w:rPr>
        <w:t>八、鼓励电子商务企业入园经营</w:t>
      </w:r>
    </w:p>
    <w:p w14:paraId="658AC6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b w:val="0"/>
          <w:bCs w:val="0"/>
          <w:color w:val="auto"/>
          <w:spacing w:val="0"/>
          <w:sz w:val="32"/>
          <w:szCs w:val="32"/>
          <w:highlight w:val="none"/>
          <w:u w:val="none"/>
          <w:lang w:val="en-US" w:eastAsia="zh-CN"/>
        </w:rPr>
      </w:pPr>
      <w:r>
        <w:rPr>
          <w:rFonts w:hint="default" w:ascii="仿宋" w:hAnsi="仿宋" w:eastAsia="方正仿宋_GBK" w:cs="Times New Roman"/>
          <w:b w:val="0"/>
          <w:bCs w:val="0"/>
          <w:color w:val="auto"/>
          <w:spacing w:val="0"/>
          <w:sz w:val="32"/>
          <w:szCs w:val="32"/>
          <w:highlight w:val="none"/>
          <w:u w:val="none"/>
          <w:lang w:val="en-US" w:eastAsia="zh-CN"/>
        </w:rPr>
        <w:t>（十五）对</w:t>
      </w:r>
      <w:r>
        <w:rPr>
          <w:rFonts w:hint="default" w:ascii="仿宋" w:hAnsi="仿宋" w:eastAsia="方正仿宋_GBK" w:cs="Times New Roman"/>
          <w:b w:val="0"/>
          <w:bCs w:val="0"/>
          <w:color w:val="auto"/>
          <w:sz w:val="32"/>
          <w:szCs w:val="32"/>
          <w:highlight w:val="none"/>
        </w:rPr>
        <w:t>被认定为市级跨境电商产业园区的经营主体给予</w:t>
      </w:r>
      <w:r>
        <w:rPr>
          <w:rFonts w:hint="default" w:ascii="仿宋" w:hAnsi="仿宋" w:eastAsia="方正仿宋_GBK" w:cs="Times New Roman"/>
          <w:b w:val="0"/>
          <w:bCs w:val="0"/>
          <w:color w:val="auto"/>
          <w:spacing w:val="0"/>
          <w:sz w:val="32"/>
          <w:szCs w:val="32"/>
          <w:highlight w:val="none"/>
          <w:u w:val="none"/>
          <w:lang w:val="en-US" w:eastAsia="zh-CN"/>
        </w:rPr>
        <w:t>招商奖励，入驻的企业年度线上交易额达到100万美元（含）以上的，每引进1家，给予园区运营主体一次性2万元奖励。</w:t>
      </w:r>
    </w:p>
    <w:p w14:paraId="114CCD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黑体_GBK" w:cs="Times New Roman"/>
          <w:color w:val="auto"/>
          <w:sz w:val="32"/>
          <w:szCs w:val="32"/>
          <w:highlight w:val="none"/>
          <w:u w:val="none"/>
          <w:lang w:val="en-US" w:eastAsia="zh-CN"/>
        </w:rPr>
      </w:pPr>
      <w:r>
        <w:rPr>
          <w:rFonts w:hint="default" w:ascii="仿宋" w:hAnsi="仿宋" w:eastAsia="方正黑体_GBK" w:cs="Times New Roman"/>
          <w:color w:val="auto"/>
          <w:sz w:val="32"/>
          <w:szCs w:val="32"/>
          <w:highlight w:val="none"/>
          <w:u w:val="none"/>
          <w:lang w:val="en-US" w:eastAsia="zh-CN"/>
        </w:rPr>
        <w:t>九、</w:t>
      </w:r>
      <w:r>
        <w:rPr>
          <w:rFonts w:hint="default" w:ascii="仿宋" w:hAnsi="仿宋" w:eastAsia="方正黑体_GBK" w:cs="Times New Roman"/>
          <w:b w:val="0"/>
          <w:bCs w:val="0"/>
          <w:color w:val="auto"/>
          <w:sz w:val="32"/>
          <w:szCs w:val="32"/>
          <w:highlight w:val="none"/>
          <w:u w:val="none"/>
          <w:lang w:val="en-US" w:eastAsia="zh-CN"/>
        </w:rPr>
        <w:t>附则</w:t>
      </w:r>
    </w:p>
    <w:p w14:paraId="297DA3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color w:val="auto"/>
          <w:sz w:val="32"/>
          <w:szCs w:val="32"/>
          <w:highlight w:val="none"/>
          <w:shd w:val="clear" w:color="auto" w:fill="auto"/>
          <w:lang w:val="en" w:eastAsia="zh-CN"/>
        </w:rPr>
        <w:t>（一）享受上述扶持政策的企业（机构）必须同时具备以下条件：</w:t>
      </w:r>
    </w:p>
    <w:p w14:paraId="347851A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b w:val="0"/>
          <w:bCs w:val="0"/>
          <w:color w:val="auto"/>
          <w:kern w:val="2"/>
          <w:sz w:val="32"/>
          <w:szCs w:val="32"/>
          <w:highlight w:val="none"/>
          <w:lang w:val="en-US" w:eastAsia="zh-CN" w:bidi="ar-SA"/>
        </w:rPr>
        <w:t>1.</w:t>
      </w:r>
      <w:r>
        <w:rPr>
          <w:rFonts w:hint="default" w:ascii="仿宋" w:hAnsi="仿宋" w:eastAsia="方正仿宋_GBK" w:cs="Times New Roman"/>
          <w:color w:val="auto"/>
          <w:sz w:val="32"/>
          <w:szCs w:val="32"/>
          <w:highlight w:val="none"/>
          <w:shd w:val="clear" w:color="auto" w:fill="auto"/>
          <w:lang w:val="en" w:eastAsia="zh-CN"/>
        </w:rPr>
        <w:t>严格遵守相关法律法规和有关管理规定开展电子商务经营活动，并接受相关部门监管。</w:t>
      </w:r>
    </w:p>
    <w:p w14:paraId="0FBB2B06">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2.</w:t>
      </w:r>
      <w:r>
        <w:rPr>
          <w:rFonts w:hint="default" w:ascii="仿宋" w:hAnsi="仿宋" w:eastAsia="方正仿宋_GBK" w:cs="Times New Roman"/>
          <w:color w:val="auto"/>
          <w:sz w:val="32"/>
          <w:szCs w:val="32"/>
          <w:highlight w:val="none"/>
          <w:shd w:val="clear" w:color="auto" w:fill="auto"/>
          <w:lang w:val="en-US" w:eastAsia="zh-CN"/>
        </w:rPr>
        <w:t>在我区开展电子商务相关业务且纳入我区统计范围的，能够如实提供电商销售相关数据信息。</w:t>
      </w:r>
    </w:p>
    <w:p w14:paraId="01C7930E">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3.</w:t>
      </w:r>
      <w:r>
        <w:rPr>
          <w:rFonts w:hint="default" w:ascii="仿宋" w:hAnsi="仿宋" w:eastAsia="方正仿宋_GBK" w:cs="Times New Roman"/>
          <w:color w:val="auto"/>
          <w:sz w:val="32"/>
          <w:szCs w:val="32"/>
          <w:highlight w:val="none"/>
          <w:shd w:val="clear" w:color="auto" w:fill="auto"/>
          <w:lang w:val="en-US" w:eastAsia="zh-CN"/>
        </w:rPr>
        <w:t>企业有健全的财务制度、依法纳税，无信用黑名单记录。</w:t>
      </w:r>
    </w:p>
    <w:p w14:paraId="65229269">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仿宋" w:hAnsi="仿宋" w:eastAsia="方正仿宋_GBK" w:cs="Times New Roman"/>
          <w:color w:val="auto"/>
          <w:sz w:val="32"/>
          <w:szCs w:val="32"/>
          <w:highlight w:val="none"/>
          <w:shd w:val="clear" w:color="auto" w:fill="auto"/>
          <w:lang w:val="en-US" w:eastAsia="zh-CN"/>
        </w:rPr>
      </w:pPr>
      <w:r>
        <w:rPr>
          <w:rFonts w:hint="default" w:ascii="仿宋" w:hAnsi="仿宋" w:eastAsia="方正仿宋_GBK" w:cs="Times New Roman"/>
          <w:b w:val="0"/>
          <w:bCs w:val="0"/>
          <w:color w:val="auto"/>
          <w:kern w:val="2"/>
          <w:sz w:val="32"/>
          <w:szCs w:val="32"/>
          <w:highlight w:val="none"/>
          <w:lang w:val="en-US" w:eastAsia="zh-CN" w:bidi="ar-SA"/>
        </w:rPr>
        <w:t>4.</w:t>
      </w:r>
      <w:r>
        <w:rPr>
          <w:rFonts w:hint="default" w:ascii="仿宋" w:hAnsi="仿宋" w:eastAsia="方正仿宋_GBK" w:cs="Times New Roman"/>
          <w:color w:val="auto"/>
          <w:sz w:val="32"/>
          <w:szCs w:val="32"/>
          <w:highlight w:val="none"/>
          <w:shd w:val="clear" w:color="auto" w:fill="auto"/>
          <w:lang w:val="en-US" w:eastAsia="zh-CN"/>
        </w:rPr>
        <w:t>申报企业当年未发生安全生产或消防安全事故。</w:t>
      </w:r>
    </w:p>
    <w:p w14:paraId="6A695A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方正仿宋_GBK" w:cs="Times New Roman"/>
          <w:color w:val="auto"/>
          <w:sz w:val="32"/>
          <w:szCs w:val="32"/>
          <w:highlight w:val="none"/>
          <w:shd w:val="clear" w:color="auto" w:fill="auto"/>
          <w:lang w:val="en" w:eastAsia="zh-CN"/>
        </w:rPr>
      </w:pPr>
      <w:r>
        <w:rPr>
          <w:rFonts w:hint="default" w:ascii="仿宋" w:hAnsi="仿宋" w:eastAsia="方正仿宋_GBK" w:cs="Times New Roman"/>
          <w:color w:val="auto"/>
          <w:sz w:val="32"/>
          <w:szCs w:val="32"/>
          <w:highlight w:val="none"/>
          <w:shd w:val="clear" w:color="auto" w:fill="auto"/>
          <w:lang w:val="en" w:eastAsia="zh-CN"/>
        </w:rPr>
        <w:t>（二）跨境电商交易</w:t>
      </w:r>
      <w:r>
        <w:rPr>
          <w:rFonts w:hint="default" w:ascii="仿宋" w:hAnsi="仿宋" w:eastAsia="方正仿宋_GBK" w:cs="Times New Roman"/>
          <w:b w:val="0"/>
          <w:bCs w:val="0"/>
          <w:color w:val="auto"/>
          <w:sz w:val="32"/>
          <w:szCs w:val="32"/>
          <w:highlight w:val="none"/>
          <w:lang w:eastAsia="zh-CN"/>
        </w:rPr>
        <w:t>规模</w:t>
      </w:r>
      <w:r>
        <w:rPr>
          <w:rFonts w:hint="default" w:ascii="仿宋" w:hAnsi="仿宋" w:eastAsia="方正仿宋_GBK" w:cs="Times New Roman"/>
          <w:color w:val="auto"/>
          <w:sz w:val="32"/>
          <w:szCs w:val="32"/>
          <w:highlight w:val="none"/>
          <w:shd w:val="clear" w:color="auto" w:fill="auto"/>
          <w:lang w:val="en" w:eastAsia="zh-CN"/>
        </w:rPr>
        <w:t>以海关监管数据或跨境电商综试区线上综合服务平台数据综合认定为准。</w:t>
      </w:r>
    </w:p>
    <w:p w14:paraId="3AEAEB13">
      <w:pPr>
        <w:keepNext w:val="0"/>
        <w:keepLines w:val="0"/>
        <w:pageBreakBefore w:val="0"/>
        <w:widowControl/>
        <w:kinsoku/>
        <w:wordWrap/>
        <w:overflowPunct/>
        <w:topLinePunct w:val="0"/>
        <w:autoSpaceDE/>
        <w:autoSpaceDN/>
        <w:bidi w:val="0"/>
        <w:adjustRightInd/>
        <w:snapToGrid/>
        <w:spacing w:beforeAutospacing="0" w:after="0" w:afterAutospacing="0" w:line="580" w:lineRule="exact"/>
        <w:ind w:firstLine="640" w:firstLineChars="200"/>
        <w:jc w:val="left"/>
        <w:textAlignment w:val="auto"/>
        <w:outlineLvl w:val="9"/>
        <w:rPr>
          <w:rFonts w:hint="default" w:ascii="仿宋" w:hAnsi="仿宋" w:eastAsia="方正仿宋_GBK" w:cs="Times New Roman"/>
          <w:b w:val="0"/>
          <w:bCs/>
          <w:color w:val="000000"/>
          <w:spacing w:val="6"/>
          <w:kern w:val="2"/>
          <w:sz w:val="32"/>
          <w:szCs w:val="32"/>
          <w:highlight w:val="none"/>
          <w:lang w:val="en-US" w:eastAsia="zh-CN" w:bidi="ar-SA"/>
        </w:rPr>
      </w:pPr>
      <w:r>
        <w:rPr>
          <w:rFonts w:hint="default" w:ascii="仿宋" w:hAnsi="仿宋" w:eastAsia="方正仿宋_GBK" w:cs="Times New Roman"/>
          <w:color w:val="auto"/>
          <w:sz w:val="32"/>
          <w:szCs w:val="32"/>
          <w:highlight w:val="none"/>
          <w:shd w:val="clear" w:color="auto" w:fill="auto"/>
          <w:lang w:val="en" w:eastAsia="zh-CN"/>
        </w:rPr>
        <w:t>（三）获得奖励收入涉及的税款由企业（机构）自行承担。</w:t>
      </w:r>
    </w:p>
    <w:p w14:paraId="5263AA5E">
      <w:pPr>
        <w:snapToGrid w:val="0"/>
        <w:spacing w:line="580" w:lineRule="exact"/>
        <w:ind w:firstLine="664" w:firstLineChars="200"/>
        <w:outlineLvl w:val="9"/>
        <w:rPr>
          <w:rFonts w:hint="default" w:ascii="仿宋" w:hAnsi="仿宋" w:cs="Times New Roman"/>
          <w:highlight w:val="none"/>
        </w:rPr>
      </w:pPr>
      <w:r>
        <w:rPr>
          <w:rFonts w:hint="default" w:ascii="仿宋" w:hAnsi="仿宋" w:eastAsia="方正仿宋_GBK" w:cs="Times New Roman"/>
          <w:b w:val="0"/>
          <w:bCs/>
          <w:color w:val="000000"/>
          <w:spacing w:val="6"/>
          <w:kern w:val="2"/>
          <w:sz w:val="32"/>
          <w:szCs w:val="32"/>
          <w:highlight w:val="none"/>
          <w:lang w:val="en-US" w:eastAsia="zh-CN" w:bidi="ar-SA"/>
        </w:rPr>
        <w:t>（四）本措施自实施起，有效期2年，视我区实际情况适时修订。本措施规定事项如与新出台政策（包括本级、上级）有冲突的，以新政策为准。本措施由区工业和信息化局负责具体解释</w:t>
      </w:r>
      <w:r>
        <w:rPr>
          <w:rFonts w:hint="default" w:ascii="仿宋" w:hAnsi="仿宋" w:eastAsia="方正仿宋_GBK" w:cs="Times New Roman"/>
          <w:b w:val="0"/>
          <w:i w:val="0"/>
          <w:color w:val="000000"/>
          <w:kern w:val="2"/>
          <w:sz w:val="32"/>
          <w:szCs w:val="32"/>
          <w:highlight w:val="none"/>
          <w:lang w:val="en-US" w:eastAsia="zh-CN" w:bidi="ar-SA"/>
        </w:rPr>
        <w:t>。</w:t>
      </w:r>
    </w:p>
    <w:sectPr>
      <w:footerReference r:id="rId3" w:type="default"/>
      <w:pgSz w:w="11906" w:h="16838"/>
      <w:pgMar w:top="2041" w:right="1587" w:bottom="1701" w:left="1587" w:header="851" w:footer="1587"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7D8D">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70395">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A70395">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OTFlYzNhNzkzNmZkMTYyZTUyOWZmYWM2NDlkMDMifQ=="/>
  </w:docVars>
  <w:rsids>
    <w:rsidRoot w:val="5B837E20"/>
    <w:rsid w:val="00246049"/>
    <w:rsid w:val="012E516A"/>
    <w:rsid w:val="013D4271"/>
    <w:rsid w:val="0459072E"/>
    <w:rsid w:val="04C73E96"/>
    <w:rsid w:val="07A06264"/>
    <w:rsid w:val="08205EDE"/>
    <w:rsid w:val="0A1844A2"/>
    <w:rsid w:val="0AFD1ED5"/>
    <w:rsid w:val="0C673F81"/>
    <w:rsid w:val="0CFE2B70"/>
    <w:rsid w:val="0D2A01E2"/>
    <w:rsid w:val="10FC3B7E"/>
    <w:rsid w:val="111E3700"/>
    <w:rsid w:val="137DA3CC"/>
    <w:rsid w:val="157B60F5"/>
    <w:rsid w:val="18E8375A"/>
    <w:rsid w:val="19FA4D70"/>
    <w:rsid w:val="1BC51414"/>
    <w:rsid w:val="1C0D54CE"/>
    <w:rsid w:val="1DE36B32"/>
    <w:rsid w:val="1F731905"/>
    <w:rsid w:val="24066BDB"/>
    <w:rsid w:val="25E53593"/>
    <w:rsid w:val="261312C5"/>
    <w:rsid w:val="277D7855"/>
    <w:rsid w:val="2B5002F0"/>
    <w:rsid w:val="2BE12008"/>
    <w:rsid w:val="2CF92C8F"/>
    <w:rsid w:val="2D4E654A"/>
    <w:rsid w:val="2E361ABF"/>
    <w:rsid w:val="2F107C41"/>
    <w:rsid w:val="2FE96A78"/>
    <w:rsid w:val="2FEA1C07"/>
    <w:rsid w:val="2FFFAC19"/>
    <w:rsid w:val="3038634D"/>
    <w:rsid w:val="33724973"/>
    <w:rsid w:val="35711EBA"/>
    <w:rsid w:val="362B296D"/>
    <w:rsid w:val="38A323B6"/>
    <w:rsid w:val="39BD593B"/>
    <w:rsid w:val="3A0E388F"/>
    <w:rsid w:val="3BD34132"/>
    <w:rsid w:val="3E7C16FC"/>
    <w:rsid w:val="3F3070E3"/>
    <w:rsid w:val="3FFB0168"/>
    <w:rsid w:val="419A5C94"/>
    <w:rsid w:val="42C34D15"/>
    <w:rsid w:val="471031A5"/>
    <w:rsid w:val="49C03EB3"/>
    <w:rsid w:val="4CB62341"/>
    <w:rsid w:val="4E024990"/>
    <w:rsid w:val="4E581F9C"/>
    <w:rsid w:val="4F730C52"/>
    <w:rsid w:val="507058C9"/>
    <w:rsid w:val="51182144"/>
    <w:rsid w:val="56506EC8"/>
    <w:rsid w:val="56920730"/>
    <w:rsid w:val="587A37B8"/>
    <w:rsid w:val="5B837E20"/>
    <w:rsid w:val="5BFF413E"/>
    <w:rsid w:val="5D8F0F22"/>
    <w:rsid w:val="5E685B9E"/>
    <w:rsid w:val="5E8E381E"/>
    <w:rsid w:val="5ECDCB61"/>
    <w:rsid w:val="5F1FD970"/>
    <w:rsid w:val="5F6A1415"/>
    <w:rsid w:val="5F6F658A"/>
    <w:rsid w:val="5FFFCB16"/>
    <w:rsid w:val="62D95311"/>
    <w:rsid w:val="645422AA"/>
    <w:rsid w:val="64DE1922"/>
    <w:rsid w:val="6505499D"/>
    <w:rsid w:val="67822B7E"/>
    <w:rsid w:val="69C27506"/>
    <w:rsid w:val="6AC9278A"/>
    <w:rsid w:val="6B627988"/>
    <w:rsid w:val="6EE44589"/>
    <w:rsid w:val="6FED7B16"/>
    <w:rsid w:val="70AA49F4"/>
    <w:rsid w:val="710128CB"/>
    <w:rsid w:val="71090A15"/>
    <w:rsid w:val="7228359D"/>
    <w:rsid w:val="72A57DAE"/>
    <w:rsid w:val="757FE2D2"/>
    <w:rsid w:val="77FF8DCF"/>
    <w:rsid w:val="78ED2470"/>
    <w:rsid w:val="7D8FC99B"/>
    <w:rsid w:val="7DFF6AF8"/>
    <w:rsid w:val="7EFA0CA2"/>
    <w:rsid w:val="7F7EB553"/>
    <w:rsid w:val="7FD79F13"/>
    <w:rsid w:val="7FEC3AB4"/>
    <w:rsid w:val="7FFEE302"/>
    <w:rsid w:val="7FFF2FD0"/>
    <w:rsid w:val="9F7D138D"/>
    <w:rsid w:val="BB76984D"/>
    <w:rsid w:val="BBDEFD33"/>
    <w:rsid w:val="BBFF7819"/>
    <w:rsid w:val="DB62FE8C"/>
    <w:rsid w:val="DBFFCCE3"/>
    <w:rsid w:val="DEF79AC7"/>
    <w:rsid w:val="DFEFBD5D"/>
    <w:rsid w:val="EBFF1C74"/>
    <w:rsid w:val="EEDF0E57"/>
    <w:rsid w:val="F35CBEE2"/>
    <w:rsid w:val="FBE6070C"/>
    <w:rsid w:val="FBFE21CC"/>
    <w:rsid w:val="FE6556C4"/>
    <w:rsid w:val="FFBDE36F"/>
    <w:rsid w:val="FFF9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方正黑体_GBK"/>
      <w:kern w:val="44"/>
      <w:sz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5">
    <w:name w:val="annotation text"/>
    <w:basedOn w:val="1"/>
    <w:qFormat/>
    <w:uiPriority w:val="0"/>
    <w:pPr>
      <w:jc w:val="left"/>
    </w:pPr>
  </w:style>
  <w:style w:type="paragraph" w:styleId="6">
    <w:name w:val="Body Text Indent 2"/>
    <w:basedOn w:val="1"/>
    <w:qFormat/>
    <w:uiPriority w:val="0"/>
    <w:pPr>
      <w:ind w:firstLine="620" w:firstLineChars="200"/>
    </w:pPr>
    <w:rPr>
      <w:rFonts w:ascii="仿宋_GB2312" w:eastAsia="仿宋_GB2312"/>
      <w:sz w:val="3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222"/>
    <w:basedOn w:val="1"/>
    <w:qFormat/>
    <w:uiPriority w:val="0"/>
    <w:pPr>
      <w:spacing w:line="640" w:lineRule="exact"/>
      <w:ind w:left="1350" w:leftChars="450" w:firstLine="640" w:firstLineChars="200"/>
    </w:pPr>
    <w:rPr>
      <w:rFonts w:ascii="Times New Roman" w:hAnsi="Times New Roman" w:eastAsia="宋体" w:cs="Times New Roman"/>
      <w:sz w:val="24"/>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1"/>
    <w:basedOn w:val="1"/>
    <w:qFormat/>
    <w:uiPriority w:val="99"/>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2122</Words>
  <Characters>2220</Characters>
  <Lines>1</Lines>
  <Paragraphs>1</Paragraphs>
  <TotalTime>53</TotalTime>
  <ScaleCrop>false</ScaleCrop>
  <LinksUpToDate>false</LinksUpToDate>
  <CharactersWithSpaces>2221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2024-02-27T08:00:00Z</dcterms:created>
  <dc:creator>草木之滨</dc:creator>
  <cp:lastModifiedBy>晴天~</cp:lastModifiedBy>
  <cp:lastPrinted>2025-02-28T16:31:00Z</cp:lastPrinted>
  <dcterms:modified xsi:type="dcterms:W3CDTF">2025-04-22T14:37:27Z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6DA56DDCBD3641779AAAFD5162A1C43E_13</vt:lpwstr>
  </property>
  <property fmtid="{D5CDD505-2E9C-101B-9397-08002B2CF9AE}" pid="4" name="KSOTemplateDocerSaveRecord">
    <vt:lpwstr>eyJoZGlkIjoiM2E1NGNhZWQ4N2VhZmYzMGZhN2E0OTg2ZWI1YjBlMmUiLCJ1c2VySWQiOiIzNTQ5MzQ4ODUifQ==</vt:lpwstr>
  </property>
</Properties>
</file>