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《惠州市惠阳区区级储备冻猪肉管理办法（征求意见稿）》政策性解读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一、背景依据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继中央、省、市出台储备肉管理办法，依据《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国家发展和改革委员会 财政部 农业农村部 商务部 国家市场监督管理总局关于印发&lt;完善政府猪肉储备调节机制 做好猪肉市场保供稳价工作预案&gt;的通知》</w:t>
      </w:r>
      <w:r>
        <w:rPr>
          <w:rFonts w:hint="eastAsia" w:ascii="仿宋" w:hAnsi="仿宋" w:eastAsia="方正仿宋_GBK" w:cs="Times New Roman"/>
          <w:b w:val="0"/>
          <w:bCs w:val="0"/>
          <w:sz w:val="32"/>
          <w:szCs w:val="32"/>
          <w:lang w:val="en-US" w:eastAsia="zh-CN"/>
        </w:rPr>
        <w:t>等法律法规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中央储备肉管理办法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《广东省省级储备冻猪肉管理办法》《惠州市发展和改革局 惠州市财政局关于市级储备冻猪肉管理办法》，结合我区实际，区发展改革局联合区财政局制定了《惠州市惠阳区区级储备冻猪肉管理办法》（以下简称《办法》）。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outlineLvl w:val="9"/>
        <w:rPr>
          <w:rFonts w:hint="eastAsia" w:ascii="仿宋" w:hAnsi="仿宋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方正黑体_GBK" w:cs="方正黑体_GBK"/>
          <w:color w:val="auto"/>
          <w:sz w:val="32"/>
          <w:szCs w:val="32"/>
          <w:highlight w:val="none"/>
          <w:lang w:eastAsia="zh-CN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调节市场供求，缓解生猪价格异常波动，有效应对突发事件引发的猪肉市场供应异常波动，保障居民基本生活需要，我区建立了冻猪肉储备机制。为建立、健全我区区级储备冻猪肉管理制度，明确参与区级储备冻猪肉管理各方的职责，规范区级储备冻猪肉收储、管理、轮换、动用、监督检查等活动，确保储得进、管得好、调得动、用得上，有效发挥冻猪肉储备调节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《办法》包括了总则、职责分工、承储企业管理、收储轮换管理、动用管理等共八章，三十五条。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outlineLvl w:val="9"/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（一）总则</w:t>
      </w:r>
      <w:r>
        <w:rPr>
          <w:rFonts w:hint="default" w:ascii="仿宋" w:hAnsi="仿宋" w:eastAsia="方正楷体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包括制定目的和依据、储备原则和适用范围等。明确区级储备冻猪肉实行企业承储、财政补贴、市场运作、费用包干的运行机制</w:t>
      </w:r>
      <w:r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outlineLvl w:val="9"/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</w:t>
      </w:r>
      <w:r>
        <w:rPr>
          <w:rFonts w:hint="eastAsia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职责分工</w:t>
      </w:r>
      <w:r>
        <w:rPr>
          <w:rFonts w:hint="default" w:ascii="仿宋" w:hAnsi="仿宋" w:eastAsia="方正楷体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主要对区发展改革部门、财政部门等管理部门以及承储企业的职责分工予以明确</w:t>
      </w:r>
      <w:r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39"/>
        <w:textAlignment w:val="auto"/>
        <w:outlineLvl w:val="9"/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</w:t>
      </w:r>
      <w:r>
        <w:rPr>
          <w:rFonts w:hint="eastAsia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承储企业</w:t>
      </w: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管理</w:t>
      </w:r>
      <w:r>
        <w:rPr>
          <w:rFonts w:hint="default" w:ascii="仿宋" w:hAnsi="仿宋" w:eastAsia="方正楷体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主要明确承储企业的确定方式、应具备的条件以及管理要求。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（四）</w:t>
      </w:r>
      <w:r>
        <w:rPr>
          <w:rFonts w:hint="eastAsia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收储轮换</w:t>
      </w: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管理</w:t>
      </w:r>
      <w:r>
        <w:rPr>
          <w:rFonts w:hint="default" w:ascii="仿宋" w:hAnsi="仿宋" w:eastAsia="方正楷体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根据相关文件要求，对区级储备冻猪肉的储存和轮换要求予以明确，以确保区级储备冻猪肉数量真实、质量良好、储存安全</w:t>
      </w:r>
      <w:r>
        <w:rPr>
          <w:rFonts w:hint="default" w:ascii="仿宋" w:hAnsi="仿宋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39"/>
        <w:textAlignment w:val="auto"/>
        <w:outlineLvl w:val="9"/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（五）</w:t>
      </w:r>
      <w:r>
        <w:rPr>
          <w:rFonts w:hint="eastAsia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动用管理</w:t>
      </w:r>
      <w:r>
        <w:rPr>
          <w:rFonts w:hint="default" w:ascii="仿宋" w:hAnsi="仿宋" w:eastAsia="方正楷体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明确区级储备冻猪肉动用原则、时机和要求等，设置了动用条件及实施程序，对补库提出了时限要求</w:t>
      </w:r>
      <w:r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39"/>
        <w:textAlignment w:val="auto"/>
        <w:outlineLvl w:val="9"/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（六）</w:t>
      </w:r>
      <w:r>
        <w:rPr>
          <w:rFonts w:hint="eastAsia" w:ascii="仿宋" w:hAnsi="仿宋" w:eastAsia="方正楷体_GBK" w:cs="Times New Roman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费用管理</w:t>
      </w:r>
      <w:r>
        <w:rPr>
          <w:rFonts w:hint="default" w:ascii="仿宋" w:hAnsi="仿宋" w:eastAsia="方正楷体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明确区级储备冻猪肉储备费用补贴的标准和拨付程序等，设置了费用补偿范围和程序</w:t>
      </w:r>
      <w:r>
        <w:rPr>
          <w:rFonts w:hint="default" w:ascii="仿宋" w:hAnsi="仿宋" w:eastAsia="方正仿宋_GBK" w:cs="Times New Roman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</w:rPr>
      </w:pPr>
      <w:r>
        <w:rPr>
          <w:rFonts w:hint="default" w:ascii="仿宋" w:hAnsi="仿宋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（七）</w:t>
      </w:r>
      <w:r>
        <w:rPr>
          <w:rFonts w:hint="eastAsia" w:ascii="仿宋" w:hAnsi="仿宋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监督检查</w:t>
      </w:r>
      <w:r>
        <w:rPr>
          <w:rFonts w:hint="default" w:ascii="仿宋" w:hAnsi="仿宋" w:eastAsia="仿宋_GB2312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default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明确</w:t>
      </w:r>
      <w:r>
        <w:rPr>
          <w:rFonts w:hint="eastAsia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监督管理的职责、监督内容，以及违反本办法规定的相关法律责任</w:t>
      </w:r>
      <w:r>
        <w:rPr>
          <w:rFonts w:hint="default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</w:rPr>
      </w:pPr>
      <w:r>
        <w:rPr>
          <w:rFonts w:hint="default" w:ascii="仿宋" w:hAnsi="仿宋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</w:t>
      </w:r>
      <w:r>
        <w:rPr>
          <w:rFonts w:hint="eastAsia" w:ascii="仿宋" w:hAnsi="仿宋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八</w:t>
      </w:r>
      <w:r>
        <w:rPr>
          <w:rFonts w:hint="default" w:ascii="仿宋" w:hAnsi="仿宋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）</w:t>
      </w:r>
      <w:r>
        <w:rPr>
          <w:rFonts w:hint="eastAsia" w:ascii="仿宋" w:hAnsi="仿宋" w:eastAsia="方正楷体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附则</w:t>
      </w:r>
      <w:r>
        <w:rPr>
          <w:rFonts w:hint="default" w:ascii="仿宋" w:hAnsi="仿宋" w:eastAsia="仿宋_GB2312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  <w:u w:val="none" w:color="auto"/>
          <w:lang w:val="en-US" w:eastAsia="zh-CN" w:bidi="ar-SA"/>
        </w:rPr>
        <w:t>规定本办法的解释权和施行时间</w:t>
      </w:r>
      <w:r>
        <w:rPr>
          <w:rFonts w:hint="default" w:ascii="仿宋" w:hAnsi="仿宋" w:eastAsia="方正仿宋_GBK" w:cs="Times New Roman"/>
          <w:b w:val="0"/>
          <w:bCs w:val="0"/>
          <w:color w:val="auto"/>
          <w:spacing w:val="-3"/>
          <w:kern w:val="0"/>
          <w:sz w:val="32"/>
          <w:szCs w:val="32"/>
          <w:highlight w:val="none"/>
        </w:rPr>
        <w:t>。</w:t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利企惠民措施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节市场供求，缓解生猪价格异常波动，有效应对突发事件引发的猪肉市场供应异常波动，保障居民基本生活需要，我区建立了冻猪肉储备机制。建立、健全我区区级储备冻猪肉管理制度，明确参与区级储备冻猪肉管理各方的职责，规范区级储备冻猪肉收储、管理、轮换、动用、监督检查等活动。</w:t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前后政策差异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本《办法》属于新出台政策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不存在前后政策差异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D4A68"/>
    <w:rsid w:val="1B8D4A68"/>
    <w:rsid w:val="53A85CE2"/>
    <w:rsid w:val="6B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autoSpaceDE w:val="0"/>
      <w:autoSpaceDN w:val="0"/>
      <w:spacing w:line="540" w:lineRule="exact"/>
      <w:ind w:firstLine="573"/>
      <w:jc w:val="both"/>
      <w:outlineLvl w:val="2"/>
    </w:pPr>
    <w:rPr>
      <w:rFonts w:ascii="Times New Roman" w:hAnsi="Times New Roman" w:eastAsia="黑体" w:cs="Times New Roman"/>
      <w:spacing w:val="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2025-05-07T06:39:00Z</dcterms:created>
  <dc:creator>Administrator</dc:creator>
  <cp:lastModifiedBy>Administrator</cp:lastModifiedBy>
  <dcterms:modified xsi:type="dcterms:W3CDTF">2025-06-18T09:34:28Z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655B87102ABD43A88F6932B710A9D52E</vt:lpwstr>
  </property>
</Properties>
</file>