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1B70">
      <w:pPr>
        <w:pStyle w:val="11"/>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color w:val="auto"/>
          <w:highlight w:val="none"/>
          <w:lang w:val="en-US" w:eastAsia="zh-CN"/>
        </w:rPr>
      </w:pPr>
    </w:p>
    <w:p w14:paraId="57832C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52"/>
          <w:highlight w:val="none"/>
          <w:lang w:val="en-US" w:eastAsia="zh-CN"/>
        </w:rPr>
        <w:t>惠阳区</w:t>
      </w:r>
      <w:r>
        <w:rPr>
          <w:rFonts w:hint="default" w:ascii="Times New Roman" w:hAnsi="Times New Roman" w:eastAsia="方正小标宋_GBK" w:cs="Times New Roman"/>
          <w:color w:val="auto"/>
          <w:sz w:val="44"/>
          <w:szCs w:val="44"/>
          <w:highlight w:val="none"/>
          <w:lang w:val="en-US" w:eastAsia="zh-CN"/>
        </w:rPr>
        <w:t>推动人工智能与机器人产业</w:t>
      </w:r>
    </w:p>
    <w:p w14:paraId="2A86B6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创新发展若干政策措施</w:t>
      </w:r>
    </w:p>
    <w:p w14:paraId="03F44FD1">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楷体_GBK" w:hAnsi="方正楷体_GBK" w:eastAsia="方正楷体_GBK" w:cs="方正楷体_GBK"/>
          <w:sz w:val="28"/>
          <w:szCs w:val="28"/>
          <w:lang w:val="en-US" w:eastAsia="zh-CN"/>
        </w:rPr>
      </w:pPr>
      <w:r>
        <w:rPr>
          <w:rFonts w:hint="eastAsia" w:ascii="方正楷体_GBK" w:hAnsi="方正楷体_GBK" w:eastAsia="方正楷体_GBK" w:cs="方正楷体_GBK"/>
          <w:color w:val="auto"/>
          <w:sz w:val="28"/>
          <w:szCs w:val="28"/>
          <w:highlight w:val="none"/>
          <w:lang w:val="en-US" w:eastAsia="zh-CN"/>
        </w:rPr>
        <w:t>（征求意见稿）</w:t>
      </w:r>
    </w:p>
    <w:p w14:paraId="7DBAA5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18030" w:cs="Times New Roman"/>
          <w:color w:val="auto"/>
          <w:sz w:val="32"/>
          <w:szCs w:val="32"/>
          <w:highlight w:val="none"/>
          <w:lang w:val="en-US" w:eastAsia="zh-CN"/>
        </w:rPr>
      </w:pPr>
    </w:p>
    <w:p w14:paraId="6C160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为贯彻</w:t>
      </w:r>
      <w:r>
        <w:rPr>
          <w:rFonts w:hint="default" w:ascii="Times New Roman" w:hAnsi="Times New Roman" w:eastAsia="方正仿宋_GBK" w:cs="Times New Roman"/>
          <w:color w:val="auto"/>
          <w:sz w:val="32"/>
          <w:szCs w:val="32"/>
          <w:highlight w:val="none"/>
          <w:lang w:eastAsia="zh-CN"/>
        </w:rPr>
        <w:t>落实</w:t>
      </w:r>
      <w:r>
        <w:rPr>
          <w:rFonts w:hint="default" w:ascii="Times New Roman" w:hAnsi="Times New Roman" w:eastAsia="方正仿宋_GBK" w:cs="Times New Roman"/>
          <w:color w:val="auto"/>
          <w:sz w:val="32"/>
          <w:szCs w:val="32"/>
          <w:highlight w:val="none"/>
          <w:lang w:val="en-US" w:eastAsia="zh-CN"/>
        </w:rPr>
        <w:t>省委省政府</w:t>
      </w:r>
      <w:r>
        <w:rPr>
          <w:rFonts w:hint="default" w:ascii="Times New Roman" w:hAnsi="Times New Roman" w:eastAsia="方正仿宋_GBK" w:cs="Times New Roman"/>
          <w:color w:val="auto"/>
          <w:sz w:val="32"/>
          <w:szCs w:val="32"/>
          <w:highlight w:val="none"/>
          <w:lang w:eastAsia="zh-CN"/>
        </w:rPr>
        <w:t>、市委市政府关于人工智能</w:t>
      </w:r>
      <w:r>
        <w:rPr>
          <w:rFonts w:hint="default" w:ascii="Times New Roman" w:hAnsi="Times New Roman" w:eastAsia="方正仿宋_GBK" w:cs="Times New Roman"/>
          <w:color w:val="auto"/>
          <w:sz w:val="32"/>
          <w:szCs w:val="32"/>
          <w:highlight w:val="none"/>
          <w:lang w:val="en-US" w:eastAsia="zh-CN"/>
        </w:rPr>
        <w:t>与机器人</w:t>
      </w:r>
      <w:r>
        <w:rPr>
          <w:rFonts w:hint="default" w:ascii="Times New Roman" w:hAnsi="Times New Roman" w:eastAsia="方正仿宋_GBK" w:cs="Times New Roman"/>
          <w:color w:val="auto"/>
          <w:sz w:val="32"/>
          <w:szCs w:val="32"/>
          <w:highlight w:val="none"/>
          <w:lang w:eastAsia="zh-CN"/>
        </w:rPr>
        <w:t>产业的工作部署，</w:t>
      </w:r>
      <w:r>
        <w:rPr>
          <w:rFonts w:hint="default" w:ascii="Times New Roman" w:hAnsi="Times New Roman" w:eastAsia="方正仿宋_GBK" w:cs="Times New Roman"/>
          <w:color w:val="auto"/>
          <w:sz w:val="32"/>
          <w:szCs w:val="32"/>
          <w:highlight w:val="none"/>
        </w:rPr>
        <w:t>加快</w:t>
      </w:r>
      <w:r>
        <w:rPr>
          <w:rFonts w:hint="default" w:ascii="Times New Roman" w:hAnsi="Times New Roman" w:eastAsia="方正仿宋_GBK" w:cs="Times New Roman"/>
          <w:color w:val="auto"/>
          <w:sz w:val="32"/>
          <w:szCs w:val="32"/>
          <w:highlight w:val="none"/>
          <w:lang w:eastAsia="zh-CN"/>
        </w:rPr>
        <w:t>和支持惠阳区</w:t>
      </w:r>
      <w:r>
        <w:rPr>
          <w:rFonts w:hint="default" w:ascii="Times New Roman" w:hAnsi="Times New Roman" w:eastAsia="方正仿宋_GBK" w:cs="Times New Roman"/>
          <w:color w:val="auto"/>
          <w:sz w:val="32"/>
          <w:szCs w:val="32"/>
          <w:highlight w:val="none"/>
        </w:rPr>
        <w:t>人工智能与机器人产业</w:t>
      </w:r>
      <w:r>
        <w:rPr>
          <w:rFonts w:hint="default" w:ascii="Times New Roman" w:hAnsi="Times New Roman" w:eastAsia="方正仿宋_GBK" w:cs="Times New Roman"/>
          <w:color w:val="auto"/>
          <w:sz w:val="32"/>
          <w:szCs w:val="32"/>
          <w:highlight w:val="none"/>
          <w:lang w:eastAsia="zh-CN"/>
        </w:rPr>
        <w:t>发展</w:t>
      </w:r>
      <w:r>
        <w:rPr>
          <w:rFonts w:hint="default" w:ascii="Times New Roman" w:hAnsi="Times New Roman" w:eastAsia="方正仿宋_GBK" w:cs="Times New Roman"/>
          <w:b w:val="0"/>
          <w:bCs w:val="0"/>
          <w:color w:val="auto"/>
          <w:sz w:val="32"/>
          <w:szCs w:val="32"/>
          <w:highlight w:val="none"/>
        </w:rPr>
        <w:t>，抢抓粤港澳大湾区人工</w:t>
      </w:r>
      <w:r>
        <w:rPr>
          <w:rFonts w:hint="default" w:ascii="Times New Roman" w:hAnsi="Times New Roman" w:eastAsia="方正仿宋_GBK" w:cs="Times New Roman"/>
          <w:color w:val="auto"/>
          <w:sz w:val="32"/>
          <w:szCs w:val="32"/>
          <w:highlight w:val="none"/>
          <w:lang w:eastAsia="zh-CN"/>
        </w:rPr>
        <w:t>智能与机器人产业发展机遇，</w:t>
      </w:r>
      <w:r>
        <w:rPr>
          <w:rFonts w:hint="eastAsia" w:ascii="Times New Roman" w:hAnsi="Times New Roman" w:eastAsia="方正仿宋_GBK" w:cs="Times New Roman"/>
          <w:color w:val="auto"/>
          <w:sz w:val="32"/>
          <w:szCs w:val="32"/>
          <w:highlight w:val="none"/>
          <w:lang w:eastAsia="zh-CN"/>
        </w:rPr>
        <w:t>参照</w:t>
      </w:r>
      <w:r>
        <w:rPr>
          <w:rFonts w:hint="default" w:ascii="Times New Roman" w:hAnsi="Times New Roman" w:eastAsia="方正仿宋_GBK" w:cs="Times New Roman"/>
          <w:color w:val="auto"/>
          <w:sz w:val="32"/>
          <w:szCs w:val="32"/>
          <w:highlight w:val="none"/>
          <w:lang w:eastAsia="zh-CN"/>
        </w:rPr>
        <w:t>《广东省推动人工智能与机器人产业创新发展若干政策措施》</w:t>
      </w:r>
      <w:bookmarkStart w:id="0" w:name="_GoBack"/>
      <w:bookmarkEnd w:id="0"/>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粤府办〔2025〕</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号</w:t>
      </w:r>
      <w:r>
        <w:rPr>
          <w:rFonts w:hint="default" w:ascii="Times New Roman" w:hAnsi="Times New Roman" w:eastAsia="方正仿宋_GBK" w:cs="Times New Roman"/>
          <w:color w:val="auto"/>
          <w:sz w:val="32"/>
          <w:szCs w:val="32"/>
          <w:highlight w:val="none"/>
          <w:lang w:eastAsia="zh-CN"/>
        </w:rPr>
        <w:t>）、《惠州市加快推动人工智能与机器人产业创新发展行动方案（2025-2027年）》（惠市工信〔2025〕</w:t>
      </w: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eastAsia="zh-CN"/>
        </w:rPr>
        <w:t>1号）等有关文件，结合我区实际，制定本政策措施。</w:t>
      </w:r>
    </w:p>
    <w:p w14:paraId="7CFE20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一、支持算力产业“强基”</w:t>
      </w:r>
    </w:p>
    <w:p w14:paraId="4C772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（一）加大优质优价算力供给。</w:t>
      </w:r>
      <w:r>
        <w:rPr>
          <w:rFonts w:hint="default" w:ascii="Times New Roman" w:hAnsi="Times New Roman" w:eastAsia="方正仿宋_GBK" w:cs="Times New Roman"/>
          <w:color w:val="auto"/>
          <w:sz w:val="32"/>
          <w:szCs w:val="32"/>
          <w:highlight w:val="none"/>
          <w:lang w:val="en-US" w:eastAsia="zh-CN"/>
        </w:rPr>
        <w:t>支持企业</w:t>
      </w:r>
      <w:r>
        <w:rPr>
          <w:rFonts w:hint="default" w:ascii="Times New Roman" w:hAnsi="Times New Roman" w:eastAsia="方正仿宋_GBK" w:cs="Times New Roman"/>
          <w:color w:val="auto"/>
          <w:sz w:val="32"/>
          <w:szCs w:val="32"/>
          <w:highlight w:val="none"/>
          <w:lang w:eastAsia="zh-CN"/>
        </w:rPr>
        <w:t>开展大模</w:t>
      </w:r>
      <w:r>
        <w:rPr>
          <w:rFonts w:hint="default" w:ascii="Times New Roman" w:hAnsi="Times New Roman" w:eastAsia="方正仿宋_GBK" w:cs="Times New Roman"/>
          <w:color w:val="auto"/>
          <w:sz w:val="32"/>
          <w:szCs w:val="32"/>
          <w:highlight w:val="none"/>
          <w:lang w:val="en-US" w:eastAsia="zh-CN"/>
        </w:rPr>
        <w:t>型训练推理、生成式人工智能应用探索，鼓励打造全国领先的通用及视觉等专用</w:t>
      </w:r>
      <w:r>
        <w:rPr>
          <w:rFonts w:hint="default" w:ascii="Times New Roman" w:hAnsi="Times New Roman" w:eastAsia="方正仿宋_GBK" w:cs="Times New Roman"/>
          <w:color w:val="auto"/>
          <w:sz w:val="32"/>
          <w:szCs w:val="32"/>
          <w:highlight w:val="none"/>
          <w:lang w:eastAsia="zh-CN"/>
        </w:rPr>
        <w:t>大模型。</w:t>
      </w:r>
      <w:r>
        <w:rPr>
          <w:rFonts w:hint="default" w:ascii="Times New Roman" w:hAnsi="Times New Roman" w:eastAsia="方正仿宋_GBK" w:cs="Times New Roman"/>
          <w:color w:val="auto"/>
          <w:sz w:val="32"/>
          <w:szCs w:val="32"/>
          <w:highlight w:val="none"/>
          <w:lang w:val="en-US" w:eastAsia="zh-CN"/>
        </w:rPr>
        <w:t>对于采购辖区内企业所持有的算力资源，按照实际采购费用的30%，给予最高100万元补贴。</w:t>
      </w:r>
    </w:p>
    <w:p w14:paraId="226C24E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二、支持产业发展“提质”</w:t>
      </w:r>
    </w:p>
    <w:p w14:paraId="2DCCFFBE">
      <w:pPr>
        <w:keepNext w:val="0"/>
        <w:keepLines w:val="0"/>
        <w:pageBreakBefore w:val="0"/>
        <w:widowControl/>
        <w:suppressLineNumbers w:val="0"/>
        <w:kinsoku/>
        <w:wordWrap/>
        <w:overflowPunct/>
        <w:topLinePunct w:val="0"/>
        <w:autoSpaceDE/>
        <w:autoSpaceDN/>
        <w:bidi w:val="0"/>
        <w:adjustRightInd/>
        <w:snapToGrid/>
        <w:spacing w:line="560" w:lineRule="exact"/>
        <w:ind w:firstLineChars="200"/>
        <w:jc w:val="both"/>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val="en-US" w:eastAsia="zh-CN"/>
        </w:rPr>
        <w:t>（二）加大优质企业梯度培育。</w:t>
      </w:r>
      <w:r>
        <w:rPr>
          <w:rFonts w:hint="default" w:ascii="Times New Roman" w:hAnsi="Times New Roman" w:eastAsia="方正仿宋_GBK" w:cs="Times New Roman"/>
          <w:b w:val="0"/>
          <w:bCs w:val="0"/>
          <w:color w:val="auto"/>
          <w:sz w:val="32"/>
          <w:szCs w:val="32"/>
          <w:highlight w:val="none"/>
        </w:rPr>
        <w:t>对首次认定为国家级单项冠军、专精特新“小巨人”的人工智能或机器人企业，分别给予</w:t>
      </w:r>
      <w:r>
        <w:rPr>
          <w:rFonts w:hint="eastAsia" w:ascii="Times New Roman" w:hAnsi="Times New Roman"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rPr>
        <w:t>万元、</w:t>
      </w:r>
      <w:r>
        <w:rPr>
          <w:rFonts w:hint="eastAsia" w:ascii="Times New Roman" w:hAnsi="Times New Roman" w:eastAsia="方正仿宋_GBK" w:cs="Times New Roman"/>
          <w:b w:val="0"/>
          <w:bCs w:val="0"/>
          <w:color w:val="auto"/>
          <w:sz w:val="32"/>
          <w:szCs w:val="32"/>
          <w:highlight w:val="none"/>
          <w:lang w:val="en-US" w:eastAsia="zh-CN"/>
        </w:rPr>
        <w:t>30</w:t>
      </w:r>
      <w:r>
        <w:rPr>
          <w:rFonts w:hint="default" w:ascii="Times New Roman" w:hAnsi="Times New Roman" w:eastAsia="方正仿宋_GBK" w:cs="Times New Roman"/>
          <w:b w:val="0"/>
          <w:bCs w:val="0"/>
          <w:color w:val="auto"/>
          <w:sz w:val="32"/>
          <w:szCs w:val="32"/>
          <w:highlight w:val="none"/>
        </w:rPr>
        <w:t>万元奖励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对首次认定为</w:t>
      </w:r>
      <w:r>
        <w:rPr>
          <w:rFonts w:hint="default" w:ascii="Times New Roman" w:hAnsi="Times New Roman" w:eastAsia="方正仿宋_GBK" w:cs="Times New Roman"/>
          <w:b w:val="0"/>
          <w:bCs w:val="0"/>
          <w:color w:val="auto"/>
          <w:sz w:val="32"/>
          <w:szCs w:val="32"/>
          <w:highlight w:val="none"/>
          <w:lang w:eastAsia="zh-CN"/>
        </w:rPr>
        <w:t>省</w:t>
      </w:r>
      <w:r>
        <w:rPr>
          <w:rFonts w:hint="default" w:ascii="Times New Roman" w:hAnsi="Times New Roman" w:eastAsia="方正仿宋_GBK" w:cs="Times New Roman"/>
          <w:b w:val="0"/>
          <w:bCs w:val="0"/>
          <w:color w:val="auto"/>
          <w:sz w:val="32"/>
          <w:szCs w:val="32"/>
          <w:highlight w:val="none"/>
        </w:rPr>
        <w:t>级单项冠军、专精特新“小巨人”的人工智能或机器人企业，分别给予</w:t>
      </w:r>
      <w:r>
        <w:rPr>
          <w:rFonts w:hint="eastAsia" w:ascii="Times New Roman" w:hAnsi="Times New Roman" w:eastAsia="方正仿宋_GBK" w:cs="Times New Roman"/>
          <w:b w:val="0"/>
          <w:bCs w:val="0"/>
          <w:color w:val="auto"/>
          <w:sz w:val="32"/>
          <w:szCs w:val="32"/>
          <w:highlight w:val="none"/>
          <w:lang w:val="en-US" w:eastAsia="zh-CN"/>
        </w:rPr>
        <w:t>30</w:t>
      </w:r>
      <w:r>
        <w:rPr>
          <w:rFonts w:hint="default" w:ascii="Times New Roman" w:hAnsi="Times New Roman" w:eastAsia="方正仿宋_GBK" w:cs="Times New Roman"/>
          <w:b w:val="0"/>
          <w:bCs w:val="0"/>
          <w:color w:val="auto"/>
          <w:sz w:val="32"/>
          <w:szCs w:val="32"/>
          <w:highlight w:val="none"/>
        </w:rPr>
        <w:t>万元、</w:t>
      </w:r>
      <w:r>
        <w:rPr>
          <w:rFonts w:hint="eastAsia"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rPr>
        <w:t>0万元奖励</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实施“小升规”培育计划，对年营收首次突破2000万元的</w:t>
      </w:r>
      <w:r>
        <w:rPr>
          <w:rFonts w:hint="default" w:ascii="Times New Roman" w:hAnsi="Times New Roman" w:eastAsia="方正仿宋_GBK" w:cs="Times New Roman"/>
          <w:b w:val="0"/>
          <w:bCs w:val="0"/>
          <w:color w:val="auto"/>
          <w:sz w:val="32"/>
          <w:szCs w:val="32"/>
          <w:highlight w:val="none"/>
          <w:lang w:eastAsia="zh-CN"/>
        </w:rPr>
        <w:t>人工智能或</w:t>
      </w:r>
      <w:r>
        <w:rPr>
          <w:rFonts w:hint="default" w:ascii="Times New Roman" w:hAnsi="Times New Roman" w:eastAsia="方正仿宋_GBK" w:cs="Times New Roman"/>
          <w:b w:val="0"/>
          <w:bCs w:val="0"/>
          <w:color w:val="auto"/>
          <w:sz w:val="32"/>
          <w:szCs w:val="32"/>
          <w:highlight w:val="none"/>
        </w:rPr>
        <w:t>机器人企业，给予</w:t>
      </w:r>
      <w:r>
        <w:rPr>
          <w:rFonts w:hint="default"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rPr>
        <w:t>0万元一次性奖励。</w:t>
      </w:r>
    </w:p>
    <w:p w14:paraId="2E3C749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楷体_GBK" w:cs="Times New Roman"/>
          <w:b w:val="0"/>
          <w:bCs w:val="0"/>
          <w:color w:val="auto"/>
          <w:sz w:val="32"/>
          <w:szCs w:val="32"/>
          <w:highlight w:val="none"/>
          <w:lang w:val="en-US" w:eastAsia="zh-CN"/>
        </w:rPr>
        <w:t>（三）</w:t>
      </w:r>
      <w:r>
        <w:rPr>
          <w:rFonts w:hint="default" w:ascii="Times New Roman" w:hAnsi="Times New Roman" w:eastAsia="方正楷体_GBK" w:cs="Times New Roman"/>
          <w:b w:val="0"/>
          <w:bCs w:val="0"/>
          <w:color w:val="auto"/>
          <w:sz w:val="32"/>
          <w:szCs w:val="32"/>
          <w:highlight w:val="none"/>
          <w:lang w:val="en-US" w:eastAsia="zh-CN"/>
        </w:rPr>
        <w:t>鼓励企业转型升级发展。</w:t>
      </w:r>
      <w:r>
        <w:rPr>
          <w:rFonts w:hint="default" w:ascii="Times New Roman" w:hAnsi="Times New Roman" w:eastAsia="方正仿宋_GBK" w:cs="Times New Roman"/>
          <w:b w:val="0"/>
          <w:bCs w:val="0"/>
          <w:color w:val="auto"/>
          <w:sz w:val="32"/>
          <w:szCs w:val="32"/>
          <w:highlight w:val="none"/>
          <w:lang w:val="en-US" w:eastAsia="zh-CN"/>
        </w:rPr>
        <w:t>支持人工智能和机器人企业扩产增效，对人工智能和机器人企业上年度实施的技术改造项目，按年度完成固定资产投资额的20%给予奖励，单个项目最高奖励100万元。</w:t>
      </w:r>
    </w:p>
    <w:p w14:paraId="29479C5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三、支持科技创新“提能”</w:t>
      </w:r>
    </w:p>
    <w:p w14:paraId="3436C2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楷体_GBK" w:cs="Times New Roman"/>
          <w:b w:val="0"/>
          <w:bCs w:val="0"/>
          <w:color w:val="auto"/>
          <w:sz w:val="32"/>
          <w:szCs w:val="32"/>
          <w:highlight w:val="none"/>
          <w:lang w:val="en-US" w:eastAsia="zh-CN"/>
        </w:rPr>
        <w:t>（四）鼓励企业自主创新发展。</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支持人工智能与机器人企业申报认定高新技术企业，对于通过认定的科技型中小企业、高新技术企业、科技领军企业，给予最高30万元奖励；支持人工智能与机器人企业主动牵头承担或参与国家、省、市级重大技术攻关任务，在科技计划项目、创新平台建设等方面予以优先支持。</w:t>
      </w:r>
    </w:p>
    <w:p w14:paraId="25E566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楷体_GBK" w:cs="Times New Roman"/>
          <w:b w:val="0"/>
          <w:bCs w:val="0"/>
          <w:color w:val="auto"/>
          <w:sz w:val="32"/>
          <w:szCs w:val="32"/>
          <w:highlight w:val="none"/>
          <w:lang w:val="en-US" w:eastAsia="zh-CN"/>
        </w:rPr>
        <w:t>（五）鼓励实施人才引育计划。</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重点支持人工智能和机器人领域企业引育科技创新人才，对于成功入选市级创新创业团队的，分级给予200万元至1000万元的奖补；成功入选市级科技领军人才的，分级给予50万至300万元的奖补；对入选国家、省重大人才计划（项目）的人才，按照市财政标准给予1:0.5配套支持，最高给予300万元资助。</w:t>
      </w:r>
    </w:p>
    <w:p w14:paraId="5647235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楷体_GBK" w:cs="Times New Roman"/>
          <w:b w:val="0"/>
          <w:bCs w:val="0"/>
          <w:color w:val="auto"/>
          <w:sz w:val="32"/>
          <w:szCs w:val="32"/>
          <w:highlight w:val="none"/>
          <w:lang w:val="en-US" w:eastAsia="zh-CN"/>
        </w:rPr>
        <w:t>（六）建设公共技术服务平台。</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支持面向人工智能与机器人领域</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共建</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联合实验室，以及开放创新平台、开源社区、概念验证中心、评测适配中心、制造业中试创新中心</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、数据采集中心</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等服务平台，配置通用模型库等产业链上下游资源并开放共享。对符合条件的新建平台，按不超过项目审定总投入的30%，给予最高200万元资助</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对成功申报国家产业创新中心的，按照市级资助金额的50%给予配套支持</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w:t>
      </w:r>
    </w:p>
    <w:p w14:paraId="51604E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（七）支持模型技术创新应用。</w:t>
      </w:r>
      <w:r>
        <w:rPr>
          <w:rFonts w:hint="default" w:ascii="Times New Roman" w:hAnsi="Times New Roman" w:eastAsia="方正仿宋_GBK" w:cs="Times New Roman"/>
          <w:b w:val="0"/>
          <w:bCs w:val="0"/>
          <w:color w:val="auto"/>
          <w:sz w:val="32"/>
          <w:szCs w:val="32"/>
          <w:highlight w:val="none"/>
          <w:lang w:val="en-US" w:eastAsia="zh-CN"/>
        </w:rPr>
        <w:t>支持拥有人工智能通用大模型、专用AI芯片、智能体开发应用、智慧城市等技术的人工智能和机器人企业集聚发展。鼓励区内企业与通用大模型厂商合作，围绕智慧城市、智能制造、智慧政务、智慧医疗、智慧教育、智慧交通、智慧园区等重点领域应用需求，开发“垂类模型”。对形成3个以上</w:t>
      </w:r>
      <w:r>
        <w:rPr>
          <w:rFonts w:hint="eastAsia" w:ascii="Times New Roman" w:hAnsi="Times New Roman" w:eastAsia="方正仿宋_GBK" w:cs="Times New Roman"/>
          <w:b w:val="0"/>
          <w:bCs w:val="0"/>
          <w:color w:val="auto"/>
          <w:sz w:val="32"/>
          <w:szCs w:val="32"/>
          <w:highlight w:val="none"/>
          <w:lang w:val="en-US" w:eastAsia="zh-CN"/>
        </w:rPr>
        <w:t>经过考评的</w:t>
      </w:r>
      <w:r>
        <w:rPr>
          <w:rFonts w:hint="default" w:ascii="Times New Roman" w:hAnsi="Times New Roman" w:eastAsia="方正仿宋_GBK" w:cs="Times New Roman"/>
          <w:b w:val="0"/>
          <w:bCs w:val="0"/>
          <w:color w:val="auto"/>
          <w:sz w:val="32"/>
          <w:szCs w:val="32"/>
          <w:highlight w:val="none"/>
          <w:lang w:val="en-US" w:eastAsia="zh-CN"/>
        </w:rPr>
        <w:t>应用案例的“垂类模型”的企业，给予一次性</w:t>
      </w:r>
      <w:r>
        <w:rPr>
          <w:rFonts w:hint="eastAsia"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0万元奖励</w:t>
      </w:r>
      <w:r>
        <w:rPr>
          <w:rFonts w:hint="eastAsia" w:ascii="Times New Roman" w:hAnsi="Times New Roman" w:eastAsia="方正仿宋_GBK" w:cs="Times New Roman"/>
          <w:b w:val="0"/>
          <w:bCs w:val="0"/>
          <w:color w:val="auto"/>
          <w:sz w:val="32"/>
          <w:szCs w:val="32"/>
          <w:highlight w:val="none"/>
          <w:lang w:val="en-US" w:eastAsia="zh-CN"/>
        </w:rPr>
        <w:t>。</w:t>
      </w:r>
    </w:p>
    <w:p w14:paraId="792687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（八）推动数据要素应用流通。</w:t>
      </w:r>
      <w:r>
        <w:rPr>
          <w:rFonts w:hint="default" w:ascii="Times New Roman" w:hAnsi="Times New Roman" w:eastAsia="方正仿宋_GBK" w:cs="Times New Roman"/>
          <w:b w:val="0"/>
          <w:bCs w:val="0"/>
          <w:color w:val="auto"/>
          <w:sz w:val="32"/>
          <w:szCs w:val="32"/>
          <w:highlight w:val="none"/>
          <w:lang w:val="en-US" w:eastAsia="zh-CN"/>
        </w:rPr>
        <w:t>鼓励行业优质企业、平台型企业提供高质量数据产品和专业化数据服务，引导企业梳理数据资源、发掘数据产品、参与数据交易，打造一批企业数据品牌。对数据集服务商上年度数据服务营收达到上规条件的，按不超过服务合同金额的5%，给予一次性最高100万元奖励。对人工智能企业通过数据交易</w:t>
      </w:r>
      <w:r>
        <w:rPr>
          <w:rFonts w:hint="eastAsia" w:ascii="Times New Roman" w:hAnsi="Times New Roman" w:eastAsia="方正仿宋_GBK" w:cs="Times New Roman"/>
          <w:b w:val="0"/>
          <w:bCs w:val="0"/>
          <w:color w:val="auto"/>
          <w:sz w:val="32"/>
          <w:szCs w:val="32"/>
          <w:highlight w:val="none"/>
          <w:lang w:val="en-US" w:eastAsia="zh-CN"/>
        </w:rPr>
        <w:t>平台等方式</w:t>
      </w:r>
      <w:r>
        <w:rPr>
          <w:rFonts w:hint="default" w:ascii="Times New Roman" w:hAnsi="Times New Roman" w:eastAsia="方正仿宋_GBK" w:cs="Times New Roman"/>
          <w:b w:val="0"/>
          <w:bCs w:val="0"/>
          <w:color w:val="auto"/>
          <w:sz w:val="32"/>
          <w:szCs w:val="32"/>
          <w:highlight w:val="none"/>
          <w:lang w:val="en-US" w:eastAsia="zh-CN"/>
        </w:rPr>
        <w:t>购买</w:t>
      </w:r>
      <w:r>
        <w:rPr>
          <w:rFonts w:hint="eastAsia" w:ascii="Times New Roman" w:hAnsi="Times New Roman" w:eastAsia="方正仿宋_GBK" w:cs="Times New Roman"/>
          <w:b w:val="0"/>
          <w:bCs w:val="0"/>
          <w:color w:val="auto"/>
          <w:sz w:val="32"/>
          <w:szCs w:val="32"/>
          <w:highlight w:val="none"/>
          <w:lang w:val="en-US" w:eastAsia="zh-CN"/>
        </w:rPr>
        <w:t>非关联方</w:t>
      </w:r>
      <w:r>
        <w:rPr>
          <w:rFonts w:hint="default" w:ascii="Times New Roman" w:hAnsi="Times New Roman" w:eastAsia="方正仿宋_GBK" w:cs="Times New Roman"/>
          <w:b w:val="0"/>
          <w:bCs w:val="0"/>
          <w:color w:val="auto"/>
          <w:sz w:val="32"/>
          <w:szCs w:val="32"/>
          <w:highlight w:val="none"/>
          <w:lang w:val="en-US" w:eastAsia="zh-CN"/>
        </w:rPr>
        <w:t>语料数据的，按其年度实际购买合同金额的20%，每年给予最高50万元的一次性资助</w:t>
      </w:r>
      <w:r>
        <w:rPr>
          <w:rFonts w:hint="eastAsia" w:ascii="Times New Roman" w:hAnsi="Times New Roman" w:eastAsia="方正仿宋_GBK" w:cs="Times New Roman"/>
          <w:b w:val="0"/>
          <w:bCs w:val="0"/>
          <w:color w:val="auto"/>
          <w:sz w:val="32"/>
          <w:szCs w:val="32"/>
          <w:highlight w:val="none"/>
          <w:lang w:val="en-US" w:eastAsia="zh-CN"/>
        </w:rPr>
        <w:t>。</w:t>
      </w:r>
    </w:p>
    <w:p w14:paraId="2CA4B32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四、支持产业生态“提效”</w:t>
      </w:r>
    </w:p>
    <w:p w14:paraId="6DC853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（九）加强企业产业用房支持。</w:t>
      </w:r>
      <w:r>
        <w:rPr>
          <w:rFonts w:hint="default" w:ascii="Times New Roman" w:hAnsi="Times New Roman" w:eastAsia="方正仿宋_GBK" w:cs="Times New Roman"/>
          <w:b w:val="0"/>
          <w:bCs w:val="0"/>
          <w:color w:val="auto"/>
          <w:sz w:val="32"/>
          <w:szCs w:val="32"/>
          <w:highlight w:val="none"/>
          <w:lang w:val="en-US" w:eastAsia="zh-CN"/>
        </w:rPr>
        <w:t>对</w:t>
      </w:r>
      <w:r>
        <w:rPr>
          <w:rFonts w:hint="eastAsia" w:ascii="Times New Roman" w:hAnsi="Times New Roman" w:eastAsia="方正仿宋_GBK" w:cs="Times New Roman"/>
          <w:b w:val="0"/>
          <w:bCs w:val="0"/>
          <w:color w:val="auto"/>
          <w:sz w:val="32"/>
          <w:szCs w:val="32"/>
          <w:highlight w:val="none"/>
          <w:lang w:val="en-US" w:eastAsia="zh-CN"/>
        </w:rPr>
        <w:t>入驻</w:t>
      </w:r>
      <w:r>
        <w:rPr>
          <w:rFonts w:hint="default" w:ascii="Times New Roman" w:hAnsi="Times New Roman" w:eastAsia="方正仿宋_GBK" w:cs="Times New Roman"/>
          <w:b w:val="0"/>
          <w:bCs w:val="0"/>
          <w:color w:val="auto"/>
          <w:sz w:val="32"/>
          <w:szCs w:val="32"/>
          <w:highlight w:val="none"/>
          <w:lang w:val="en-US" w:eastAsia="zh-CN"/>
        </w:rPr>
        <w:t>惠阳象岭智慧科技产业园</w:t>
      </w:r>
      <w:r>
        <w:rPr>
          <w:rFonts w:hint="eastAsia" w:ascii="Times New Roman" w:hAnsi="Times New Roman" w:eastAsia="方正仿宋_GBK" w:cs="Times New Roman"/>
          <w:b w:val="0"/>
          <w:bCs w:val="0"/>
          <w:color w:val="auto"/>
          <w:sz w:val="32"/>
          <w:szCs w:val="32"/>
          <w:highlight w:val="none"/>
          <w:lang w:val="en-US" w:eastAsia="zh-CN"/>
        </w:rPr>
        <w:t>、惠阳（新圩）智能制造产业园园区范围内</w:t>
      </w:r>
      <w:r>
        <w:rPr>
          <w:rFonts w:hint="default" w:ascii="Times New Roman" w:hAnsi="Times New Roman" w:eastAsia="方正仿宋_GBK" w:cs="Times New Roman"/>
          <w:b w:val="0"/>
          <w:bCs w:val="0"/>
          <w:color w:val="auto"/>
          <w:sz w:val="32"/>
          <w:szCs w:val="32"/>
          <w:highlight w:val="none"/>
          <w:lang w:val="en-US" w:eastAsia="zh-CN"/>
        </w:rPr>
        <w:t>工业物业厂房</w:t>
      </w:r>
      <w:r>
        <w:rPr>
          <w:rFonts w:hint="eastAsia" w:ascii="Times New Roman" w:hAnsi="Times New Roman" w:eastAsia="方正仿宋_GBK" w:cs="Times New Roman"/>
          <w:b w:val="0"/>
          <w:bCs w:val="0"/>
          <w:color w:val="auto"/>
          <w:sz w:val="32"/>
          <w:szCs w:val="32"/>
          <w:highlight w:val="none"/>
          <w:lang w:val="en-US" w:eastAsia="zh-CN"/>
        </w:rPr>
        <w:t>，且符合园区产业规划</w:t>
      </w:r>
      <w:r>
        <w:rPr>
          <w:rFonts w:hint="default" w:ascii="Times New Roman" w:hAnsi="Times New Roman" w:eastAsia="方正仿宋_GBK" w:cs="Times New Roman"/>
          <w:b w:val="0"/>
          <w:bCs w:val="0"/>
          <w:color w:val="auto"/>
          <w:sz w:val="32"/>
          <w:szCs w:val="32"/>
          <w:highlight w:val="none"/>
          <w:lang w:val="en-US" w:eastAsia="zh-CN"/>
        </w:rPr>
        <w:t>的人工智能与机器人企业或机构，</w:t>
      </w:r>
      <w:r>
        <w:rPr>
          <w:rFonts w:hint="eastAsia" w:ascii="Times New Roman" w:hAnsi="Times New Roman" w:eastAsia="方正仿宋_GBK" w:cs="Times New Roman"/>
          <w:b w:val="0"/>
          <w:bCs w:val="0"/>
          <w:color w:val="auto"/>
          <w:sz w:val="32"/>
          <w:szCs w:val="32"/>
          <w:highlight w:val="none"/>
          <w:lang w:val="en-US" w:eastAsia="zh-CN"/>
        </w:rPr>
        <w:t>租赁</w:t>
      </w:r>
      <w:r>
        <w:rPr>
          <w:rFonts w:hint="default" w:ascii="Times New Roman" w:hAnsi="Times New Roman" w:eastAsia="方正仿宋_GBK" w:cs="Times New Roman"/>
          <w:b w:val="0"/>
          <w:bCs w:val="0"/>
          <w:color w:val="auto"/>
          <w:sz w:val="32"/>
          <w:szCs w:val="32"/>
          <w:highlight w:val="none"/>
          <w:lang w:val="en-US" w:eastAsia="zh-CN"/>
        </w:rPr>
        <w:t>工业物业厂房</w:t>
      </w:r>
      <w:r>
        <w:rPr>
          <w:rFonts w:hint="eastAsia" w:ascii="Times New Roman" w:hAnsi="Times New Roman" w:eastAsia="方正仿宋_GBK" w:cs="Times New Roman"/>
          <w:b w:val="0"/>
          <w:bCs w:val="0"/>
          <w:color w:val="auto"/>
          <w:sz w:val="32"/>
          <w:szCs w:val="32"/>
          <w:highlight w:val="none"/>
          <w:lang w:val="en-US" w:eastAsia="zh-CN"/>
        </w:rPr>
        <w:t>作为自用产业用房并实现投产的，按照5元/月/平方米的标准给予租金补贴</w:t>
      </w:r>
      <w:r>
        <w:rPr>
          <w:rFonts w:hint="default" w:ascii="Times New Roman" w:hAnsi="Times New Roman" w:eastAsia="方正仿宋_GBK" w:cs="Times New Roman"/>
          <w:b w:val="0"/>
          <w:bCs w:val="0"/>
          <w:color w:val="auto"/>
          <w:sz w:val="32"/>
          <w:szCs w:val="32"/>
          <w:highlight w:val="none"/>
          <w:lang w:val="en-US" w:eastAsia="zh-CN"/>
        </w:rPr>
        <w:t>，给予每家企业每年最高30万元补贴，连续补贴三年</w:t>
      </w:r>
      <w:r>
        <w:rPr>
          <w:rFonts w:hint="eastAsia" w:ascii="Times New Roman" w:hAnsi="Times New Roman" w:eastAsia="方正仿宋_GBK" w:cs="Times New Roman"/>
          <w:b w:val="0"/>
          <w:bCs w:val="0"/>
          <w:color w:val="auto"/>
          <w:sz w:val="32"/>
          <w:szCs w:val="32"/>
          <w:highlight w:val="none"/>
          <w:lang w:val="en-US" w:eastAsia="zh-CN"/>
        </w:rPr>
        <w:t>。</w:t>
      </w:r>
    </w:p>
    <w:p w14:paraId="586FA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（十）打造零租孵化器和加速器。</w:t>
      </w:r>
      <w:r>
        <w:rPr>
          <w:rFonts w:hint="default" w:ascii="Times New Roman" w:hAnsi="Times New Roman" w:eastAsia="方正仿宋_GBK" w:cs="Times New Roman"/>
          <w:b w:val="0"/>
          <w:bCs w:val="0"/>
          <w:color w:val="auto"/>
          <w:sz w:val="32"/>
          <w:szCs w:val="32"/>
          <w:highlight w:val="none"/>
          <w:lang w:val="en-US" w:eastAsia="zh-CN"/>
        </w:rPr>
        <w:t>倡导人工智能产业园区打造集企业孵化、成果转化、科技金融、运营服务等于一体的“零租”孵化器和加速器，对符合条件的人工智能和机器人领域中小微企业、初创企业和行业商协会，给予两年的免租优惠，为入驻企业及团队提供“拎包入驻”优质服务。对经认定的“零租”孵化器或加速器，</w:t>
      </w:r>
      <w:r>
        <w:rPr>
          <w:rFonts w:hint="eastAsia" w:ascii="Times New Roman" w:hAnsi="Times New Roman" w:eastAsia="方正仿宋_GBK" w:cs="Times New Roman"/>
          <w:b w:val="0"/>
          <w:bCs w:val="0"/>
          <w:color w:val="auto"/>
          <w:sz w:val="32"/>
          <w:szCs w:val="32"/>
          <w:highlight w:val="none"/>
          <w:lang w:val="en-US" w:eastAsia="zh-CN"/>
        </w:rPr>
        <w:t>认定面积</w:t>
      </w:r>
      <w:r>
        <w:rPr>
          <w:rFonts w:hint="default" w:ascii="Times New Roman" w:hAnsi="Times New Roman" w:eastAsia="方正仿宋_GBK" w:cs="Times New Roman"/>
          <w:b w:val="0"/>
          <w:bCs w:val="0"/>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元/月/平方米的标准，给予园区运营主体每年最高100万元</w:t>
      </w:r>
      <w:r>
        <w:rPr>
          <w:rFonts w:hint="eastAsia" w:ascii="Times New Roman" w:hAnsi="Times New Roman" w:eastAsia="方正仿宋_GBK" w:cs="Times New Roman"/>
          <w:b w:val="0"/>
          <w:bCs w:val="0"/>
          <w:color w:val="auto"/>
          <w:sz w:val="32"/>
          <w:szCs w:val="32"/>
          <w:highlight w:val="none"/>
          <w:lang w:val="en-US" w:eastAsia="zh-CN"/>
        </w:rPr>
        <w:t>补贴</w:t>
      </w:r>
      <w:r>
        <w:rPr>
          <w:rFonts w:hint="default" w:ascii="Times New Roman" w:hAnsi="Times New Roman" w:eastAsia="方正仿宋_GBK" w:cs="Times New Roman"/>
          <w:b w:val="0"/>
          <w:bCs w:val="0"/>
          <w:color w:val="auto"/>
          <w:sz w:val="32"/>
          <w:szCs w:val="32"/>
          <w:highlight w:val="none"/>
          <w:lang w:val="en-US" w:eastAsia="zh-CN"/>
        </w:rPr>
        <w:t>资助，连续资助两年</w:t>
      </w:r>
      <w:r>
        <w:rPr>
          <w:rFonts w:hint="eastAsia" w:ascii="Times New Roman" w:hAnsi="Times New Roman" w:eastAsia="方正仿宋_GBK" w:cs="Times New Roman"/>
          <w:b w:val="0"/>
          <w:bCs w:val="0"/>
          <w:color w:val="auto"/>
          <w:sz w:val="32"/>
          <w:szCs w:val="32"/>
          <w:highlight w:val="none"/>
          <w:lang w:val="en-US" w:eastAsia="zh-CN"/>
        </w:rPr>
        <w:t>。</w:t>
      </w:r>
    </w:p>
    <w:p w14:paraId="7BB50B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（十一）加大科技金融服务支持。</w:t>
      </w:r>
      <w:r>
        <w:rPr>
          <w:rFonts w:hint="default" w:ascii="Times New Roman" w:hAnsi="Times New Roman" w:eastAsia="方正仿宋_GBK" w:cs="Times New Roman"/>
          <w:b w:val="0"/>
          <w:bCs w:val="0"/>
          <w:color w:val="auto"/>
          <w:kern w:val="2"/>
          <w:sz w:val="32"/>
          <w:szCs w:val="32"/>
          <w:highlight w:val="none"/>
          <w:lang w:val="en-US" w:eastAsia="zh-CN" w:bidi="ar-SA"/>
        </w:rPr>
        <w:t>促进科技与金融深度融合，设立人工智能产业基金，</w:t>
      </w:r>
      <w:r>
        <w:rPr>
          <w:rFonts w:hint="default" w:ascii="Times New Roman" w:hAnsi="Times New Roman" w:eastAsia="方正仿宋_GBK" w:cs="Times New Roman"/>
          <w:b w:val="0"/>
          <w:bCs w:val="0"/>
          <w:color w:val="auto"/>
          <w:sz w:val="32"/>
          <w:szCs w:val="32"/>
          <w:highlight w:val="none"/>
          <w:lang w:val="en-US" w:eastAsia="zh-CN"/>
        </w:rPr>
        <w:t>对</w:t>
      </w:r>
      <w:r>
        <w:rPr>
          <w:rFonts w:hint="eastAsia" w:ascii="Times New Roman" w:hAnsi="Times New Roman" w:eastAsia="方正仿宋_GBK" w:cs="Times New Roman"/>
          <w:b w:val="0"/>
          <w:bCs w:val="0"/>
          <w:color w:val="auto"/>
          <w:sz w:val="32"/>
          <w:szCs w:val="32"/>
          <w:highlight w:val="none"/>
          <w:lang w:val="en-US" w:eastAsia="zh-CN"/>
        </w:rPr>
        <w:t>人工智能和机器人企业</w:t>
      </w:r>
      <w:r>
        <w:rPr>
          <w:rFonts w:hint="default" w:ascii="Times New Roman" w:hAnsi="Times New Roman" w:eastAsia="方正仿宋_GBK" w:cs="Times New Roman"/>
          <w:b w:val="0"/>
          <w:bCs w:val="0"/>
          <w:color w:val="auto"/>
          <w:sz w:val="32"/>
          <w:szCs w:val="32"/>
          <w:highlight w:val="none"/>
          <w:lang w:val="en-US" w:eastAsia="zh-CN"/>
        </w:rPr>
        <w:t>年度新增银行贷款，用于建设厂房、购买设备、技术改造、科技研发等方面，不包括借新还旧、购买土地等方面，按不超过银行贷款利率的3</w:t>
      </w:r>
      <w:r>
        <w:rPr>
          <w:rFonts w:hint="eastAsia"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进行贴息</w:t>
      </w:r>
      <w:r>
        <w:rPr>
          <w:rFonts w:hint="default" w:ascii="Times New Roman" w:hAnsi="Times New Roman" w:eastAsia="方正仿宋_GBK" w:cs="Times New Roman"/>
          <w:b w:val="0"/>
          <w:bCs w:val="0"/>
          <w:color w:val="auto"/>
          <w:sz w:val="32"/>
          <w:szCs w:val="32"/>
          <w:highlight w:val="none"/>
          <w:lang w:val="en-US" w:eastAsia="zh-CN"/>
        </w:rPr>
        <w:t>，单</w:t>
      </w:r>
      <w:r>
        <w:rPr>
          <w:rFonts w:hint="eastAsia" w:ascii="Times New Roman" w:hAnsi="Times New Roman" w:eastAsia="方正仿宋_GBK" w:cs="Times New Roman"/>
          <w:b w:val="0"/>
          <w:bCs w:val="0"/>
          <w:color w:val="auto"/>
          <w:sz w:val="32"/>
          <w:szCs w:val="32"/>
          <w:highlight w:val="none"/>
          <w:lang w:val="en-US" w:eastAsia="zh-CN"/>
        </w:rPr>
        <w:t>个</w:t>
      </w:r>
      <w:r>
        <w:rPr>
          <w:rFonts w:hint="default" w:ascii="Times New Roman" w:hAnsi="Times New Roman" w:eastAsia="方正仿宋_GBK" w:cs="Times New Roman"/>
          <w:b w:val="0"/>
          <w:bCs w:val="0"/>
          <w:color w:val="auto"/>
          <w:sz w:val="32"/>
          <w:szCs w:val="32"/>
          <w:highlight w:val="none"/>
          <w:lang w:val="en-US" w:eastAsia="zh-CN"/>
        </w:rPr>
        <w:t>企业年度贴息金额最高</w:t>
      </w:r>
      <w:r>
        <w:rPr>
          <w:rFonts w:hint="eastAsia" w:ascii="Times New Roman" w:hAnsi="Times New Roman" w:eastAsia="方正仿宋_GBK" w:cs="Times New Roman"/>
          <w:b w:val="0"/>
          <w:bCs w:val="0"/>
          <w:color w:val="auto"/>
          <w:sz w:val="32"/>
          <w:szCs w:val="32"/>
          <w:highlight w:val="none"/>
          <w:lang w:val="en-US" w:eastAsia="zh-CN"/>
        </w:rPr>
        <w:t>50</w:t>
      </w:r>
      <w:r>
        <w:rPr>
          <w:rFonts w:hint="default" w:ascii="Times New Roman" w:hAnsi="Times New Roman" w:eastAsia="方正仿宋_GBK" w:cs="Times New Roman"/>
          <w:b w:val="0"/>
          <w:bCs w:val="0"/>
          <w:color w:val="auto"/>
          <w:sz w:val="32"/>
          <w:szCs w:val="32"/>
          <w:highlight w:val="none"/>
          <w:lang w:val="en-US" w:eastAsia="zh-CN"/>
        </w:rPr>
        <w:t>万元，贴息期限不超过3年。对企业通过担保机构担保从银行获得经营贷款，用于建设厂房、购买设备、技术改造、科技研发等方面，不包括借新还旧、购买土地等方面，按不超过实际支出担保费用的50%，给予</w:t>
      </w:r>
      <w:r>
        <w:rPr>
          <w:rFonts w:hint="eastAsia" w:ascii="Times New Roman" w:hAnsi="Times New Roman" w:eastAsia="方正仿宋_GBK" w:cs="Times New Roman"/>
          <w:b w:val="0"/>
          <w:bCs w:val="0"/>
          <w:color w:val="auto"/>
          <w:sz w:val="32"/>
          <w:szCs w:val="32"/>
          <w:highlight w:val="none"/>
          <w:lang w:val="en-US" w:eastAsia="zh-CN"/>
        </w:rPr>
        <w:t>单个企业</w:t>
      </w:r>
      <w:r>
        <w:rPr>
          <w:rFonts w:hint="default" w:ascii="Times New Roman" w:hAnsi="Times New Roman" w:eastAsia="方正仿宋_GBK" w:cs="Times New Roman"/>
          <w:b w:val="0"/>
          <w:bCs w:val="0"/>
          <w:color w:val="auto"/>
          <w:sz w:val="32"/>
          <w:szCs w:val="32"/>
          <w:highlight w:val="none"/>
          <w:lang w:val="en-US" w:eastAsia="zh-CN"/>
        </w:rPr>
        <w:t>每年最高30万元资助，单</w:t>
      </w:r>
      <w:r>
        <w:rPr>
          <w:rFonts w:hint="eastAsia" w:ascii="Times New Roman" w:hAnsi="Times New Roman" w:eastAsia="方正仿宋_GBK" w:cs="Times New Roman"/>
          <w:b w:val="0"/>
          <w:bCs w:val="0"/>
          <w:color w:val="auto"/>
          <w:sz w:val="32"/>
          <w:szCs w:val="32"/>
          <w:highlight w:val="none"/>
          <w:lang w:val="en-US" w:eastAsia="zh-CN"/>
        </w:rPr>
        <w:t>个</w:t>
      </w:r>
      <w:r>
        <w:rPr>
          <w:rFonts w:hint="default" w:ascii="Times New Roman" w:hAnsi="Times New Roman" w:eastAsia="方正仿宋_GBK" w:cs="Times New Roman"/>
          <w:b w:val="0"/>
          <w:bCs w:val="0"/>
          <w:color w:val="auto"/>
          <w:sz w:val="32"/>
          <w:szCs w:val="32"/>
          <w:highlight w:val="none"/>
          <w:lang w:val="en-US" w:eastAsia="zh-CN"/>
        </w:rPr>
        <w:t>企业贴保期限不超过3年。同一</w:t>
      </w:r>
      <w:r>
        <w:rPr>
          <w:rFonts w:hint="eastAsia" w:ascii="Times New Roman" w:hAnsi="Times New Roman" w:eastAsia="方正仿宋_GBK" w:cs="Times New Roman"/>
          <w:b w:val="0"/>
          <w:bCs w:val="0"/>
          <w:color w:val="auto"/>
          <w:sz w:val="32"/>
          <w:szCs w:val="32"/>
          <w:highlight w:val="none"/>
          <w:lang w:val="en-US" w:eastAsia="zh-CN"/>
        </w:rPr>
        <w:t>企业</w:t>
      </w:r>
      <w:r>
        <w:rPr>
          <w:rFonts w:hint="default" w:ascii="Times New Roman" w:hAnsi="Times New Roman" w:eastAsia="方正仿宋_GBK" w:cs="Times New Roman"/>
          <w:b w:val="0"/>
          <w:bCs w:val="0"/>
          <w:color w:val="auto"/>
          <w:sz w:val="32"/>
          <w:szCs w:val="32"/>
          <w:highlight w:val="none"/>
          <w:lang w:val="en-US" w:eastAsia="zh-CN"/>
        </w:rPr>
        <w:t>符合不同贷款贴息政策条件的，只能选择其中一项政策进行申请</w:t>
      </w:r>
      <w:r>
        <w:rPr>
          <w:rFonts w:hint="eastAsia" w:ascii="Times New Roman" w:hAnsi="Times New Roman" w:eastAsia="方正仿宋_GBK" w:cs="Times New Roman"/>
          <w:b w:val="0"/>
          <w:bCs w:val="0"/>
          <w:color w:val="auto"/>
          <w:sz w:val="32"/>
          <w:szCs w:val="32"/>
          <w:highlight w:val="none"/>
          <w:lang w:val="en-US" w:eastAsia="zh-CN"/>
        </w:rPr>
        <w:t>。</w:t>
      </w:r>
    </w:p>
    <w:p w14:paraId="20DC3AA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楷体_GBK" w:cs="Times New Roman"/>
          <w:b w:val="0"/>
          <w:bCs w:val="0"/>
          <w:color w:val="auto"/>
          <w:sz w:val="32"/>
          <w:szCs w:val="32"/>
          <w:highlight w:val="none"/>
          <w:lang w:val="en-US" w:eastAsia="zh-CN"/>
        </w:rPr>
        <w:t>（十二）打造产业交流高端平台。</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围绕人工智能高质量发展，打造具有国际、国内影响力的行业交流和大赛等活动。对</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组织举办有30家及以上人工智能和机器人企业参加</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的活动，按不超过审定总投入的50%，给予最高</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5</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0万元资助</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鼓励企业或机构积极参加国际、国内影响力的行业交流和大赛等活动，企业或机构参展面积达到100平方米（含）以上的，给予场地租赁费、布展费、宣传推广费等费用支持，单场活动按不超过审定总投入的50%，给予最高10万元资助。</w:t>
      </w:r>
    </w:p>
    <w:p w14:paraId="104CC02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五、支持行业应用“提速”</w:t>
      </w:r>
    </w:p>
    <w:p w14:paraId="52325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（十三）打造人工智能应用场景示范。</w:t>
      </w:r>
      <w:r>
        <w:rPr>
          <w:rFonts w:hint="default" w:ascii="Times New Roman" w:hAnsi="Times New Roman" w:eastAsia="方正仿宋_GBK" w:cs="Times New Roman"/>
          <w:b w:val="0"/>
          <w:bCs w:val="0"/>
          <w:color w:val="auto"/>
          <w:sz w:val="32"/>
          <w:szCs w:val="32"/>
          <w:highlight w:val="none"/>
          <w:lang w:val="en-US" w:eastAsia="zh-CN"/>
        </w:rPr>
        <w:t>推动千行百业“AI+”和“机器人+”升级，聚焦应用场景示范，支持千行百业融合应用人工智能技术提升自身能力，鼓励开展人工智能应用场景示范。每年遴选不超过5个具有行业引领的示范场景项目，按照项目投资主体（非政府投资项目）实际投入的20%，给予一次性最高100万元资助</w:t>
      </w:r>
      <w:r>
        <w:rPr>
          <w:rFonts w:hint="eastAsia" w:ascii="Times New Roman" w:hAnsi="Times New Roman" w:eastAsia="方正仿宋_GBK" w:cs="Times New Roman"/>
          <w:b w:val="0"/>
          <w:bCs w:val="0"/>
          <w:color w:val="auto"/>
          <w:sz w:val="32"/>
          <w:szCs w:val="32"/>
          <w:highlight w:val="none"/>
          <w:lang w:val="en-US" w:eastAsia="zh-CN"/>
        </w:rPr>
        <w:t>。</w:t>
      </w:r>
    </w:p>
    <w:p w14:paraId="48BD64B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lang w:val="en-US" w:eastAsia="zh-CN"/>
        </w:rPr>
      </w:pPr>
      <w:r>
        <w:rPr>
          <w:rFonts w:hint="default" w:ascii="Times New Roman" w:hAnsi="Times New Roman" w:eastAsia="方正黑体_GBK" w:cs="Times New Roman"/>
          <w:b w:val="0"/>
          <w:bCs w:val="0"/>
          <w:color w:val="auto"/>
          <w:kern w:val="0"/>
          <w:sz w:val="32"/>
          <w:szCs w:val="32"/>
          <w:highlight w:val="none"/>
          <w:lang w:val="en-US" w:eastAsia="zh-CN"/>
        </w:rPr>
        <w:t>六、附则</w:t>
      </w:r>
    </w:p>
    <w:p w14:paraId="16B17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方正仿宋_GBK" w:cs="Times New Roman"/>
          <w:b w:val="0"/>
          <w:bCs w:val="0"/>
          <w:color w:val="auto"/>
          <w:sz w:val="32"/>
          <w:szCs w:val="32"/>
          <w:highlight w:val="none"/>
          <w:lang w:val="en-US" w:eastAsia="zh-CN"/>
        </w:rPr>
        <w:t>本措施实行财政资金总额控制，区财政</w:t>
      </w:r>
      <w:r>
        <w:rPr>
          <w:rFonts w:hint="eastAsia" w:ascii="Times New Roman" w:hAnsi="Times New Roman" w:eastAsia="方正仿宋_GBK" w:cs="Times New Roman"/>
          <w:b w:val="0"/>
          <w:bCs w:val="0"/>
          <w:color w:val="auto"/>
          <w:sz w:val="32"/>
          <w:szCs w:val="32"/>
          <w:highlight w:val="none"/>
          <w:lang w:val="en-US" w:eastAsia="zh-CN"/>
        </w:rPr>
        <w:t>三年内安排不超过1亿元（其中2026</w:t>
      </w:r>
      <w:r>
        <w:rPr>
          <w:rFonts w:hint="default" w:ascii="Times New Roman" w:hAnsi="Times New Roman" w:eastAsia="方正仿宋_GBK" w:cs="Times New Roman"/>
          <w:b w:val="0"/>
          <w:bCs w:val="0"/>
          <w:color w:val="auto"/>
          <w:sz w:val="32"/>
          <w:szCs w:val="32"/>
          <w:highlight w:val="none"/>
          <w:lang w:val="en-US" w:eastAsia="zh-CN"/>
        </w:rPr>
        <w:t>年安排</w:t>
      </w:r>
      <w:r>
        <w:rPr>
          <w:rFonts w:hint="eastAsia" w:ascii="Times New Roman" w:hAnsi="Times New Roman" w:eastAsia="方正仿宋_GBK" w:cs="Times New Roman"/>
          <w:b w:val="0"/>
          <w:bCs w:val="0"/>
          <w:color w:val="auto"/>
          <w:sz w:val="32"/>
          <w:szCs w:val="32"/>
          <w:highlight w:val="none"/>
          <w:lang w:val="en-US" w:eastAsia="zh-CN"/>
        </w:rPr>
        <w:t>约3</w:t>
      </w:r>
      <w:r>
        <w:rPr>
          <w:rFonts w:hint="default" w:ascii="Times New Roman" w:hAnsi="Times New Roman" w:eastAsia="方正仿宋_GBK" w:cs="Times New Roman"/>
          <w:b w:val="0"/>
          <w:bCs w:val="0"/>
          <w:color w:val="auto"/>
          <w:sz w:val="32"/>
          <w:szCs w:val="32"/>
          <w:highlight w:val="none"/>
          <w:lang w:val="en-US" w:eastAsia="zh-CN"/>
        </w:rPr>
        <w:t>000万元</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对人工智能与机器人产业进行重点扶持，与我区区级层面其他同类优惠措施不得重复享受。</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对于已获得国家或省级财政支持的项目，我区财政对同一项目累计资助金额不得超过该项目经审计认定的投资额。由区工业和信息化局牵头，相关部门配合，及时制定出台操作规程</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或申请指南</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，明确本措施涉及奖补条款具体执行范围和程序</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。本措施相关奖补资金，列入各牵头认定部门相应年度部门预算</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。执行期间如遇国家和省、市有关政策及规定调整的，本措施可进行相应调整。</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奖补资金实行总额控制，具体以当年发布的申请指南为准。</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本措施自2025年  月  日起施行，至2027年12月31日止，在此期间符合条件的企业可申请奖补。</w:t>
      </w:r>
      <w:r>
        <w:rPr>
          <w:rFonts w:hint="eastAsia" w:ascii="Times New Roman" w:hAnsi="Times New Roman" w:eastAsia="方正仿宋_GBK" w:cs="Times New Roman"/>
          <w:b w:val="0"/>
          <w:bCs w:val="0"/>
          <w:i w:val="0"/>
          <w:iCs w:val="0"/>
          <w:color w:val="auto"/>
          <w:kern w:val="2"/>
          <w:sz w:val="32"/>
          <w:szCs w:val="32"/>
          <w:highlight w:val="none"/>
          <w:vertAlign w:val="baseline"/>
          <w:lang w:val="en-US" w:eastAsia="zh-CN" w:bidi="ar-SA"/>
        </w:rPr>
        <w:t>本措施</w:t>
      </w:r>
      <w:r>
        <w:rPr>
          <w:rFonts w:hint="default" w:ascii="Times New Roman" w:hAnsi="Times New Roman" w:eastAsia="方正仿宋_GBK" w:cs="Times New Roman"/>
          <w:b w:val="0"/>
          <w:bCs w:val="0"/>
          <w:i w:val="0"/>
          <w:iCs w:val="0"/>
          <w:color w:val="auto"/>
          <w:kern w:val="2"/>
          <w:sz w:val="32"/>
          <w:szCs w:val="32"/>
          <w:highlight w:val="none"/>
          <w:vertAlign w:val="baseline"/>
          <w:lang w:val="en-US" w:eastAsia="zh-CN" w:bidi="ar-SA"/>
        </w:rPr>
        <w:t>由区工业和信息化局负责解释。</w:t>
      </w:r>
    </w:p>
    <w:sectPr>
      <w:footerReference r:id="rId3" w:type="default"/>
      <w:pgSz w:w="11906" w:h="16838"/>
      <w:pgMar w:top="1701" w:right="1474" w:bottom="141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C2C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FFDE">
                          <w:pPr>
                            <w:pStyle w:val="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6EFFDE">
                    <w:pPr>
                      <w:pStyle w:val="6"/>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1170"/>
    <w:rsid w:val="02B536AE"/>
    <w:rsid w:val="0466658B"/>
    <w:rsid w:val="04E721EA"/>
    <w:rsid w:val="05634469"/>
    <w:rsid w:val="07287718"/>
    <w:rsid w:val="083D0B68"/>
    <w:rsid w:val="0AFB5144"/>
    <w:rsid w:val="0B3F68FA"/>
    <w:rsid w:val="0D7373DB"/>
    <w:rsid w:val="0DFA7CBE"/>
    <w:rsid w:val="0EBF5C5A"/>
    <w:rsid w:val="0F480AD4"/>
    <w:rsid w:val="0FA67D74"/>
    <w:rsid w:val="0FEB51FA"/>
    <w:rsid w:val="10086339"/>
    <w:rsid w:val="10DB3A4D"/>
    <w:rsid w:val="119A7465"/>
    <w:rsid w:val="125B73F1"/>
    <w:rsid w:val="14C81D6A"/>
    <w:rsid w:val="162A4334"/>
    <w:rsid w:val="19834846"/>
    <w:rsid w:val="19F370BC"/>
    <w:rsid w:val="1AD9039C"/>
    <w:rsid w:val="1AEB0D31"/>
    <w:rsid w:val="1B4F0073"/>
    <w:rsid w:val="1BE85270"/>
    <w:rsid w:val="1DA50156"/>
    <w:rsid w:val="1DAA5A0B"/>
    <w:rsid w:val="1F460F91"/>
    <w:rsid w:val="21CF4A1A"/>
    <w:rsid w:val="28013942"/>
    <w:rsid w:val="28F90ABD"/>
    <w:rsid w:val="2AA2643E"/>
    <w:rsid w:val="2BD650E5"/>
    <w:rsid w:val="2C88126B"/>
    <w:rsid w:val="2CC118F2"/>
    <w:rsid w:val="2DB3717E"/>
    <w:rsid w:val="2DB60DC2"/>
    <w:rsid w:val="2F3565C7"/>
    <w:rsid w:val="2F4B45A3"/>
    <w:rsid w:val="2FD7142C"/>
    <w:rsid w:val="300D5000"/>
    <w:rsid w:val="30437A2C"/>
    <w:rsid w:val="30640F12"/>
    <w:rsid w:val="315134EC"/>
    <w:rsid w:val="3170330A"/>
    <w:rsid w:val="319770C5"/>
    <w:rsid w:val="32081D71"/>
    <w:rsid w:val="338A5133"/>
    <w:rsid w:val="343D04B8"/>
    <w:rsid w:val="34B05C1A"/>
    <w:rsid w:val="3600139D"/>
    <w:rsid w:val="38B30C88"/>
    <w:rsid w:val="38EC06EC"/>
    <w:rsid w:val="3914549F"/>
    <w:rsid w:val="39445D84"/>
    <w:rsid w:val="39743AD8"/>
    <w:rsid w:val="3A6A35C8"/>
    <w:rsid w:val="3BC34BE3"/>
    <w:rsid w:val="3BC813E9"/>
    <w:rsid w:val="3C363893"/>
    <w:rsid w:val="3C4147FD"/>
    <w:rsid w:val="3C952F92"/>
    <w:rsid w:val="3CB82C95"/>
    <w:rsid w:val="3E990920"/>
    <w:rsid w:val="414F52C6"/>
    <w:rsid w:val="41A40952"/>
    <w:rsid w:val="41F2407E"/>
    <w:rsid w:val="42083B1B"/>
    <w:rsid w:val="421A1D78"/>
    <w:rsid w:val="424602AB"/>
    <w:rsid w:val="4423215B"/>
    <w:rsid w:val="44617F7B"/>
    <w:rsid w:val="4474716C"/>
    <w:rsid w:val="448D1C69"/>
    <w:rsid w:val="449F47B6"/>
    <w:rsid w:val="44CD4E80"/>
    <w:rsid w:val="45587386"/>
    <w:rsid w:val="45701EE1"/>
    <w:rsid w:val="46D36999"/>
    <w:rsid w:val="47034902"/>
    <w:rsid w:val="47307948"/>
    <w:rsid w:val="476725FC"/>
    <w:rsid w:val="4791488A"/>
    <w:rsid w:val="47B440D5"/>
    <w:rsid w:val="488B5D7B"/>
    <w:rsid w:val="4968786D"/>
    <w:rsid w:val="4A9A1CA8"/>
    <w:rsid w:val="4A9B157C"/>
    <w:rsid w:val="4BA601D9"/>
    <w:rsid w:val="4D0E4287"/>
    <w:rsid w:val="4E113E52"/>
    <w:rsid w:val="4EB573AF"/>
    <w:rsid w:val="53492B23"/>
    <w:rsid w:val="53C51035"/>
    <w:rsid w:val="54336CC9"/>
    <w:rsid w:val="557A2419"/>
    <w:rsid w:val="560D6958"/>
    <w:rsid w:val="568630E0"/>
    <w:rsid w:val="56BF4C25"/>
    <w:rsid w:val="574E5F28"/>
    <w:rsid w:val="57EA3B43"/>
    <w:rsid w:val="58C6010C"/>
    <w:rsid w:val="59855CEC"/>
    <w:rsid w:val="59A65510"/>
    <w:rsid w:val="5B324D9B"/>
    <w:rsid w:val="5B7C7BA9"/>
    <w:rsid w:val="5BB46942"/>
    <w:rsid w:val="5D2A1B3D"/>
    <w:rsid w:val="5DDB6408"/>
    <w:rsid w:val="61B03707"/>
    <w:rsid w:val="623D1284"/>
    <w:rsid w:val="62775A61"/>
    <w:rsid w:val="62CF5E0F"/>
    <w:rsid w:val="62F351D8"/>
    <w:rsid w:val="63B374DF"/>
    <w:rsid w:val="63FA3360"/>
    <w:rsid w:val="64E074B6"/>
    <w:rsid w:val="65595867"/>
    <w:rsid w:val="65D75E71"/>
    <w:rsid w:val="68EF43AF"/>
    <w:rsid w:val="69733998"/>
    <w:rsid w:val="6A10568B"/>
    <w:rsid w:val="6AAF5FDC"/>
    <w:rsid w:val="6AD00A26"/>
    <w:rsid w:val="6BC524A5"/>
    <w:rsid w:val="6C2F3939"/>
    <w:rsid w:val="6CE07597"/>
    <w:rsid w:val="6F1F4E1F"/>
    <w:rsid w:val="71072C18"/>
    <w:rsid w:val="7338355D"/>
    <w:rsid w:val="74BD1F21"/>
    <w:rsid w:val="74F36122"/>
    <w:rsid w:val="753366D1"/>
    <w:rsid w:val="765B42EC"/>
    <w:rsid w:val="76852F5D"/>
    <w:rsid w:val="773A255E"/>
    <w:rsid w:val="776808B4"/>
    <w:rsid w:val="782B2DC7"/>
    <w:rsid w:val="7A1E13BB"/>
    <w:rsid w:val="7C8F6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5">
    <w:name w:val="heading 2"/>
    <w:next w:val="1"/>
    <w:qFormat/>
    <w:uiPriority w:val="0"/>
    <w:pPr>
      <w:keepNext/>
      <w:keepLines/>
      <w:widowControl w:val="0"/>
      <w:spacing w:before="260" w:after="260" w:line="413" w:lineRule="auto"/>
      <w:jc w:val="both"/>
      <w:outlineLvl w:val="1"/>
    </w:pPr>
    <w:rPr>
      <w:rFonts w:ascii="Arial" w:hAnsi="Arial" w:eastAsia="黑体" w:cs="Times New Roman"/>
      <w:b/>
      <w:kern w:val="2"/>
      <w:sz w:val="32"/>
      <w:szCs w:val="24"/>
      <w:lang w:val="en-US" w:eastAsia="zh-CN" w:bidi="ar-SA"/>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样式1"/>
    <w:basedOn w:val="3"/>
    <w:qFormat/>
    <w:uiPriority w:val="0"/>
    <w:pPr>
      <w:spacing w:line="600" w:lineRule="exact"/>
    </w:pPr>
    <w:rPr>
      <w:rFonts w:ascii="Tahoma" w:hAnsi="Tahoma" w:eastAsia="仿宋"/>
      <w:sz w:val="32"/>
      <w:szCs w:val="22"/>
    </w:rPr>
  </w:style>
  <w:style w:type="paragraph" w:customStyle="1" w:styleId="3">
    <w:name w:val="正文1"/>
    <w:basedOn w:val="4"/>
    <w:qFormat/>
    <w:uiPriority w:val="99"/>
    <w:pPr>
      <w:ind w:firstLine="708" w:firstLineChars="236"/>
    </w:pPr>
    <w:rPr>
      <w:rFonts w:ascii="仿宋_GB2312" w:eastAsia="仿宋_GB2312" w:cs="仿宋_GB2312"/>
      <w:sz w:val="30"/>
      <w:szCs w:val="30"/>
    </w:rPr>
  </w:style>
  <w:style w:type="paragraph" w:customStyle="1" w:styleId="4">
    <w:name w:val="正文 New"/>
    <w:next w:val="2"/>
    <w:qFormat/>
    <w:uiPriority w:val="0"/>
    <w:pPr>
      <w:widowControl w:val="0"/>
      <w:jc w:val="both"/>
    </w:pPr>
    <w:rPr>
      <w:rFonts w:ascii="Times New Roman" w:hAnsi="Times New Roman" w:eastAsia="宋体" w:cs="Times New Roman"/>
      <w:kern w:val="2"/>
      <w:sz w:val="21"/>
      <w:lang w:val="en-US" w:eastAsia="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11">
    <w:name w:val="Default"/>
    <w:qFormat/>
    <w:uiPriority w:val="0"/>
    <w:pPr>
      <w:widowControl w:val="0"/>
      <w:autoSpaceDE w:val="0"/>
      <w:autoSpaceDN w:val="0"/>
      <w:adjustRightInd w:val="0"/>
    </w:pPr>
    <w:rPr>
      <w:rFonts w:hint="eastAsia" w:ascii="仿宋_GB2312" w:hAnsi="仿宋_GB2312" w:eastAsia="仿宋_GB2312" w:cs="宋体"/>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5</Pages>
  <Words>2732</Words>
  <Characters>2833</Characters>
  <Paragraphs>32</Paragraphs>
  <TotalTime>1323</TotalTime>
  <ScaleCrop>false</ScaleCrop>
  <LinksUpToDate>false</LinksUpToDate>
  <CharactersWithSpaces>2837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2025-04-07T10:07:00Z</dcterms:created>
  <dc:creator>YM</dc:creator>
  <cp:lastModifiedBy>钟志科</cp:lastModifiedBy>
  <cp:lastPrinted>2025-07-08T09:36:00Z</cp:lastPrinted>
  <dcterms:modified xsi:type="dcterms:W3CDTF">2025-08-29T06:54:30Z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E0CFEEC9C2F843C1A0779173816AE53A_13</vt:lpwstr>
  </property>
  <property fmtid="{D5CDD505-2E9C-101B-9397-08002B2CF9AE}" pid="4" name="KSOTemplateDocerSaveRecord">
    <vt:lpwstr>eyJoZGlkIjoiMTg1NjMyMzUxZTcwNTI2ODgxZGM3OTFlMjFjOTAyZTIifQ==</vt:lpwstr>
  </property>
</Properties>
</file>