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0A2FA">
      <w:pPr>
        <w:pStyle w:val="2"/>
        <w:rPr>
          <w:rFonts w:hint="default" w:ascii="Times New Roman" w:hAnsi="Times New Roman" w:cs="Times New Roman"/>
          <w:lang w:val="en-US" w:eastAsia="zh-CN"/>
        </w:rPr>
      </w:pPr>
    </w:p>
    <w:p w14:paraId="548D1DF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《惠州市惠阳区城管执法轻微违法违规</w:t>
      </w:r>
    </w:p>
    <w:p w14:paraId="74E284F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行为免罚清单》政策解读</w:t>
      </w:r>
      <w:r>
        <w:rPr>
          <w:rFonts w:hint="eastAsia" w:ascii="Times New Roman" w:hAnsi="Times New Roman" w:eastAsia="方正小标宋_GBK" w:cs="Times New Roman"/>
          <w:color w:val="000000"/>
          <w:sz w:val="44"/>
          <w:szCs w:val="44"/>
          <w:lang w:val="en-US" w:eastAsia="zh-CN"/>
        </w:rPr>
        <w:t>（起草说明）</w:t>
      </w:r>
    </w:p>
    <w:p w14:paraId="3DB4ED5A">
      <w:pPr>
        <w:pStyle w:val="2"/>
        <w:keepNext w:val="0"/>
        <w:keepLines w:val="0"/>
        <w:pageBreakBefore w:val="0"/>
        <w:kinsoku/>
        <w:wordWrap/>
        <w:overflowPunct/>
        <w:topLinePunct w:val="0"/>
        <w:bidi w:val="0"/>
        <w:snapToGrid/>
        <w:spacing w:line="580" w:lineRule="exact"/>
        <w:textAlignment w:val="auto"/>
        <w:rPr>
          <w:rFonts w:hint="default" w:ascii="Times New Roman" w:hAnsi="Times New Roman" w:cs="Times New Roman"/>
          <w:lang w:val="en-US" w:eastAsia="zh-CN"/>
        </w:rPr>
      </w:pPr>
    </w:p>
    <w:p w14:paraId="6657D1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为进一步规范我区城管执法行为，在城管执法领域探索包容审慎监管，优化营商环境，激发市场活力，促进经济持续健康发展</w:t>
      </w:r>
      <w:r>
        <w:rPr>
          <w:rFonts w:hint="default" w:ascii="Times New Roman" w:hAnsi="Times New Roman" w:eastAsia="方正仿宋_GBK" w:cs="Times New Roman"/>
          <w:kern w:val="2"/>
          <w:sz w:val="32"/>
          <w:szCs w:val="32"/>
          <w:highlight w:val="none"/>
          <w:lang w:val="en-US" w:eastAsia="zh-CN" w:bidi="ar-SA"/>
        </w:rPr>
        <w:t>，根据《中华人民共和国行政处罚法》《法治政府建设实施纲要（2021-2025年）》《广东省人民政府办公厅关于推进包容审慎监管的指导意见》（粤府办〔2022〕7号）、《惠州市推进包容审慎工作实施方案》（惠市司通〔2022〕35号）、《关于做好包容审慎监管工作的通知》等规定，结合工作实际，我局制定了《惠州市惠阳区城管执法轻微违法违规行为免罚清单》（</w:t>
      </w:r>
      <w:r>
        <w:rPr>
          <w:rFonts w:hint="default" w:ascii="Times New Roman" w:hAnsi="Times New Roman" w:eastAsia="仿宋" w:cs="Times New Roman"/>
          <w:sz w:val="32"/>
          <w:szCs w:val="32"/>
          <w:lang w:eastAsia="zh-CN"/>
        </w:rPr>
        <w:t>后简称《清单》</w:t>
      </w:r>
      <w:r>
        <w:rPr>
          <w:rFonts w:hint="default" w:ascii="Times New Roman" w:hAnsi="Times New Roman" w:eastAsia="方正仿宋_GBK" w:cs="Times New Roman"/>
          <w:kern w:val="2"/>
          <w:sz w:val="32"/>
          <w:szCs w:val="32"/>
          <w:highlight w:val="none"/>
          <w:lang w:val="en-US" w:eastAsia="zh-CN" w:bidi="ar-SA"/>
        </w:rPr>
        <w:t>），现解读如下。</w:t>
      </w:r>
    </w:p>
    <w:p w14:paraId="54775860">
      <w:pPr>
        <w:keepNext w:val="0"/>
        <w:keepLines w:val="0"/>
        <w:pageBreakBefore w:val="0"/>
        <w:widowControl w:val="0"/>
        <w:numPr>
          <w:ilvl w:val="0"/>
          <w:numId w:val="0"/>
        </w:numPr>
        <w:tabs>
          <w:tab w:val="left" w:pos="3869"/>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方正黑体_GBK" w:cs="Times New Roman"/>
          <w:sz w:val="32"/>
          <w:szCs w:val="32"/>
          <w:highlight w:val="none"/>
          <w:lang w:val="en-US" w:eastAsia="zh-CN"/>
        </w:rPr>
        <w:t>一、文件制定背景</w:t>
      </w:r>
    </w:p>
    <w:p w14:paraId="23A6A69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为贯彻</w:t>
      </w:r>
      <w:r>
        <w:rPr>
          <w:rFonts w:hint="eastAsia" w:ascii="Times New Roman" w:hAnsi="Times New Roman" w:eastAsia="方正仿宋_GBK" w:cs="Times New Roman"/>
          <w:color w:val="auto"/>
          <w:kern w:val="2"/>
          <w:sz w:val="32"/>
          <w:szCs w:val="32"/>
          <w:highlight w:val="none"/>
          <w:lang w:val="en-US" w:eastAsia="zh-CN" w:bidi="ar-SA"/>
        </w:rPr>
        <w:t>落实</w:t>
      </w:r>
      <w:r>
        <w:rPr>
          <w:rFonts w:hint="default" w:ascii="Times New Roman" w:hAnsi="Times New Roman" w:eastAsia="方正仿宋_GBK" w:cs="Times New Roman"/>
          <w:color w:val="auto"/>
          <w:kern w:val="2"/>
          <w:sz w:val="32"/>
          <w:szCs w:val="32"/>
          <w:highlight w:val="none"/>
          <w:lang w:val="en-US" w:eastAsia="zh-CN" w:bidi="ar-SA"/>
        </w:rPr>
        <w:t>《法治政府建设实施纲要（2021-2025年）》《广东省人民政府办公厅关于推进包容审慎监管的指导意见》（粤府办〔2022〕7号）</w:t>
      </w:r>
      <w:r>
        <w:rPr>
          <w:rFonts w:hint="eastAsia" w:ascii="Times New Roman" w:hAnsi="Times New Roman" w:eastAsia="方正仿宋_GBK" w:cs="Times New Roman"/>
          <w:color w:val="auto"/>
          <w:kern w:val="2"/>
          <w:sz w:val="32"/>
          <w:szCs w:val="32"/>
          <w:highlight w:val="none"/>
          <w:lang w:val="en-US" w:eastAsia="zh-CN" w:bidi="ar-SA"/>
        </w:rPr>
        <w:t>的部署要求，做好</w:t>
      </w:r>
      <w:r>
        <w:rPr>
          <w:rFonts w:hint="default" w:ascii="Times New Roman" w:hAnsi="Times New Roman" w:eastAsia="方正仿宋_GBK" w:cs="Times New Roman"/>
          <w:color w:val="auto"/>
          <w:kern w:val="2"/>
          <w:sz w:val="32"/>
          <w:szCs w:val="32"/>
          <w:highlight w:val="none"/>
          <w:lang w:val="en-US" w:eastAsia="zh-CN" w:bidi="ar-SA"/>
        </w:rPr>
        <w:t>包容审慎监管工作，</w:t>
      </w:r>
      <w:r>
        <w:rPr>
          <w:rFonts w:hint="eastAsia" w:ascii="Times New Roman" w:hAnsi="Times New Roman" w:eastAsia="方正仿宋_GBK" w:cs="Times New Roman"/>
          <w:b w:val="0"/>
          <w:bCs w:val="0"/>
          <w:color w:val="auto"/>
          <w:kern w:val="2"/>
          <w:sz w:val="32"/>
          <w:szCs w:val="32"/>
          <w:highlight w:val="none"/>
          <w:lang w:val="en-US" w:eastAsia="zh-CN" w:bidi="ar-SA"/>
        </w:rPr>
        <w:t>持续</w:t>
      </w:r>
      <w:r>
        <w:rPr>
          <w:rFonts w:hint="default" w:ascii="Times New Roman" w:hAnsi="Times New Roman" w:eastAsia="方正仿宋_GBK" w:cs="Times New Roman"/>
          <w:b w:val="0"/>
          <w:bCs w:val="0"/>
          <w:color w:val="auto"/>
          <w:kern w:val="2"/>
          <w:sz w:val="32"/>
          <w:szCs w:val="32"/>
          <w:highlight w:val="none"/>
          <w:lang w:val="en-US" w:eastAsia="zh-CN" w:bidi="ar-SA"/>
        </w:rPr>
        <w:t>激发市场活力，</w:t>
      </w:r>
      <w:r>
        <w:rPr>
          <w:rFonts w:hint="eastAsia" w:ascii="Times New Roman" w:hAnsi="Times New Roman" w:eastAsia="方正仿宋_GBK" w:cs="Times New Roman"/>
          <w:b w:val="0"/>
          <w:bCs w:val="0"/>
          <w:color w:val="auto"/>
          <w:kern w:val="2"/>
          <w:sz w:val="32"/>
          <w:szCs w:val="32"/>
          <w:highlight w:val="none"/>
          <w:lang w:val="en-US" w:eastAsia="zh-CN" w:bidi="ar-SA"/>
        </w:rPr>
        <w:t>创造优质营商环境，</w:t>
      </w:r>
      <w:r>
        <w:rPr>
          <w:rFonts w:hint="default" w:ascii="Times New Roman" w:hAnsi="Times New Roman" w:eastAsia="方正仿宋_GBK" w:cs="Times New Roman"/>
          <w:b w:val="0"/>
          <w:bCs w:val="0"/>
          <w:color w:val="auto"/>
          <w:kern w:val="2"/>
          <w:sz w:val="32"/>
          <w:szCs w:val="32"/>
          <w:highlight w:val="none"/>
          <w:lang w:val="en-US" w:eastAsia="zh-CN" w:bidi="ar-SA"/>
        </w:rPr>
        <w:t>促进经济持续健康发展</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根据《中华人民共和国行政处罚法》《城市市容和环境卫生管理条例》等法律法规的相关规定，结合工作实际，制定《清单》能够实现社会效果与法律效果的同步提升，达成执法力度与温度的统一。</w:t>
      </w:r>
    </w:p>
    <w:p w14:paraId="19EB930A">
      <w:pPr>
        <w:keepNext w:val="0"/>
        <w:keepLines w:val="0"/>
        <w:pageBreakBefore w:val="0"/>
        <w:widowControl w:val="0"/>
        <w:numPr>
          <w:ilvl w:val="0"/>
          <w:numId w:val="0"/>
        </w:numPr>
        <w:tabs>
          <w:tab w:val="left" w:pos="3869"/>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二、法律法规政策依据</w:t>
      </w:r>
    </w:p>
    <w:p w14:paraId="58F138E7">
      <w:pPr>
        <w:keepNext w:val="0"/>
        <w:keepLines w:val="0"/>
        <w:pageBreakBefore w:val="0"/>
        <w:widowControl w:val="0"/>
        <w:numPr>
          <w:ilvl w:val="0"/>
          <w:numId w:val="0"/>
        </w:numPr>
        <w:tabs>
          <w:tab w:val="left" w:pos="3869"/>
        </w:tabs>
        <w:kinsoku/>
        <w:wordWrap/>
        <w:overflowPunct/>
        <w:topLinePunct w:val="0"/>
        <w:autoSpaceDE/>
        <w:autoSpaceDN/>
        <w:bidi w:val="0"/>
        <w:adjustRightInd/>
        <w:snapToGrid/>
        <w:spacing w:line="580" w:lineRule="exact"/>
        <w:ind w:left="1598" w:leftChars="304" w:hanging="960" w:hangingChars="3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（一）《中华人民共和国行政处罚法</w:t>
      </w:r>
      <w:bookmarkStart w:id="0" w:name="_GoBack"/>
      <w:bookmarkEnd w:id="0"/>
      <w:r>
        <w:rPr>
          <w:rFonts w:hint="default" w:ascii="Times New Roman" w:hAnsi="Times New Roman" w:eastAsia="方正仿宋_GBK" w:cs="Times New Roman"/>
          <w:color w:val="000000"/>
          <w:kern w:val="2"/>
          <w:sz w:val="32"/>
          <w:szCs w:val="32"/>
          <w:highlight w:val="none"/>
          <w:lang w:val="en-US" w:eastAsia="zh-CN" w:bidi="ar-SA"/>
        </w:rPr>
        <w:t>》</w:t>
      </w:r>
    </w:p>
    <w:p w14:paraId="65FDF638">
      <w:pPr>
        <w:pStyle w:val="2"/>
        <w:keepNext w:val="0"/>
        <w:keepLines w:val="0"/>
        <w:pageBreakBefore w:val="0"/>
        <w:kinsoku/>
        <w:wordWrap/>
        <w:overflowPunct/>
        <w:topLinePunct w:val="0"/>
        <w:bidi w:val="0"/>
        <w:snapToGrid/>
        <w:spacing w:line="580" w:lineRule="exact"/>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（二）《中华人民共和国固体废物污染环境防治法》</w:t>
      </w:r>
    </w:p>
    <w:p w14:paraId="60CE0AE1">
      <w:pPr>
        <w:pStyle w:val="2"/>
        <w:keepNext w:val="0"/>
        <w:keepLines w:val="0"/>
        <w:pageBreakBefore w:val="0"/>
        <w:kinsoku/>
        <w:wordWrap/>
        <w:overflowPunct/>
        <w:topLinePunct w:val="0"/>
        <w:bidi w:val="0"/>
        <w:snapToGrid/>
        <w:spacing w:line="580" w:lineRule="exact"/>
        <w:ind w:firstLine="640" w:firstLineChars="200"/>
        <w:jc w:val="both"/>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（三）《广东省城市绿化条例》</w:t>
      </w:r>
    </w:p>
    <w:p w14:paraId="27173069">
      <w:pPr>
        <w:pStyle w:val="2"/>
        <w:keepNext w:val="0"/>
        <w:keepLines w:val="0"/>
        <w:pageBreakBefore w:val="0"/>
        <w:kinsoku/>
        <w:wordWrap/>
        <w:overflowPunct/>
        <w:topLinePunct w:val="0"/>
        <w:bidi w:val="0"/>
        <w:snapToGrid/>
        <w:spacing w:line="580" w:lineRule="exact"/>
        <w:ind w:firstLine="640" w:firstLineChars="200"/>
        <w:jc w:val="both"/>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（四）《广东省城乡生活垃圾管理条例》</w:t>
      </w:r>
    </w:p>
    <w:p w14:paraId="349E111A">
      <w:pPr>
        <w:pStyle w:val="2"/>
        <w:keepNext w:val="0"/>
        <w:keepLines w:val="0"/>
        <w:pageBreakBefore w:val="0"/>
        <w:kinsoku/>
        <w:wordWrap/>
        <w:overflowPunct/>
        <w:topLinePunct w:val="0"/>
        <w:bidi w:val="0"/>
        <w:snapToGrid/>
        <w:spacing w:line="580" w:lineRule="exact"/>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（五）《惠州市市容和环境卫生管理条例》</w:t>
      </w:r>
    </w:p>
    <w:p w14:paraId="13625527">
      <w:pPr>
        <w:pStyle w:val="2"/>
        <w:keepNext w:val="0"/>
        <w:keepLines w:val="0"/>
        <w:pageBreakBefore w:val="0"/>
        <w:kinsoku/>
        <w:wordWrap/>
        <w:overflowPunct/>
        <w:topLinePunct w:val="0"/>
        <w:bidi w:val="0"/>
        <w:snapToGrid/>
        <w:spacing w:line="580" w:lineRule="exact"/>
        <w:ind w:firstLine="640" w:firstLineChars="200"/>
        <w:jc w:val="both"/>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（六）《惠州市养犬管理条例》</w:t>
      </w:r>
    </w:p>
    <w:p w14:paraId="41D04A39">
      <w:pPr>
        <w:pStyle w:val="2"/>
        <w:keepNext w:val="0"/>
        <w:keepLines w:val="0"/>
        <w:pageBreakBefore w:val="0"/>
        <w:kinsoku/>
        <w:wordWrap/>
        <w:overflowPunct/>
        <w:topLinePunct w:val="0"/>
        <w:bidi w:val="0"/>
        <w:snapToGrid/>
        <w:spacing w:line="580" w:lineRule="exact"/>
        <w:ind w:firstLine="640" w:firstLineChars="200"/>
        <w:jc w:val="both"/>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（七）《城市生活垃圾管理办法》</w:t>
      </w:r>
    </w:p>
    <w:p w14:paraId="5D4E6FD9">
      <w:pPr>
        <w:pStyle w:val="2"/>
        <w:keepNext w:val="0"/>
        <w:keepLines w:val="0"/>
        <w:pageBreakBefore w:val="0"/>
        <w:kinsoku/>
        <w:wordWrap/>
        <w:overflowPunct/>
        <w:topLinePunct w:val="0"/>
        <w:bidi w:val="0"/>
        <w:snapToGrid/>
        <w:spacing w:line="580" w:lineRule="exact"/>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（八）《惠州市户外广告和招牌设置管理办法》</w:t>
      </w:r>
    </w:p>
    <w:p w14:paraId="4B4B13E6">
      <w:pPr>
        <w:pStyle w:val="2"/>
        <w:keepNext w:val="0"/>
        <w:keepLines w:val="0"/>
        <w:pageBreakBefore w:val="0"/>
        <w:kinsoku/>
        <w:wordWrap/>
        <w:overflowPunct/>
        <w:topLinePunct w:val="0"/>
        <w:bidi w:val="0"/>
        <w:snapToGrid/>
        <w:spacing w:line="580" w:lineRule="exact"/>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w:t>
      </w:r>
      <w:r>
        <w:rPr>
          <w:rFonts w:hint="eastAsia" w:ascii="Times New Roman" w:hAnsi="Times New Roman" w:eastAsia="方正仿宋_GBK" w:cs="Times New Roman"/>
          <w:kern w:val="2"/>
          <w:sz w:val="32"/>
          <w:szCs w:val="32"/>
          <w:highlight w:val="none"/>
          <w:lang w:val="en-US" w:eastAsia="zh-CN" w:bidi="ar-SA"/>
        </w:rPr>
        <w:t>九</w:t>
      </w:r>
      <w:r>
        <w:rPr>
          <w:rFonts w:hint="default" w:ascii="Times New Roman" w:hAnsi="Times New Roman" w:eastAsia="方正仿宋_GBK" w:cs="Times New Roman"/>
          <w:kern w:val="2"/>
          <w:sz w:val="32"/>
          <w:szCs w:val="32"/>
          <w:highlight w:val="none"/>
          <w:lang w:val="en-US" w:eastAsia="zh-CN" w:bidi="ar-SA"/>
        </w:rPr>
        <w:t>）《法治政府建设实施纲要（2021-2025年）》</w:t>
      </w:r>
    </w:p>
    <w:p w14:paraId="3C3286DC">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w:t>
      </w:r>
      <w:r>
        <w:rPr>
          <w:rFonts w:hint="eastAsia" w:ascii="Times New Roman" w:hAnsi="Times New Roman" w:eastAsia="方正仿宋_GBK" w:cs="Times New Roman"/>
          <w:kern w:val="2"/>
          <w:sz w:val="32"/>
          <w:szCs w:val="32"/>
          <w:highlight w:val="none"/>
          <w:lang w:val="en-US" w:eastAsia="zh-CN" w:bidi="ar-SA"/>
        </w:rPr>
        <w:t>十</w:t>
      </w:r>
      <w:r>
        <w:rPr>
          <w:rFonts w:hint="default" w:ascii="Times New Roman" w:hAnsi="Times New Roman" w:eastAsia="方正仿宋_GBK" w:cs="Times New Roman"/>
          <w:kern w:val="2"/>
          <w:sz w:val="32"/>
          <w:szCs w:val="32"/>
          <w:highlight w:val="none"/>
          <w:lang w:val="en-US" w:eastAsia="zh-CN" w:bidi="ar-SA"/>
        </w:rPr>
        <w:t>）《广东省人民政府办公厅关于推进包容审慎监管的指导意见》（粤府办〔2022〕7号）</w:t>
      </w:r>
    </w:p>
    <w:p w14:paraId="42109017">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（十一）《</w:t>
      </w:r>
      <w:r>
        <w:rPr>
          <w:rFonts w:hint="default" w:ascii="Times New Roman" w:hAnsi="Times New Roman" w:eastAsia="方正仿宋_GBK" w:cs="Times New Roman"/>
          <w:kern w:val="2"/>
          <w:sz w:val="32"/>
          <w:szCs w:val="32"/>
          <w:highlight w:val="none"/>
          <w:lang w:val="en-US" w:eastAsia="zh-CN" w:bidi="ar-SA"/>
        </w:rPr>
        <w:t>广东省住房和城乡建设系统行政处罚免罚清单》</w:t>
      </w:r>
    </w:p>
    <w:p w14:paraId="5FEDA5E7">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w:t>
      </w:r>
      <w:r>
        <w:rPr>
          <w:rFonts w:hint="eastAsia" w:ascii="Times New Roman" w:hAnsi="Times New Roman" w:eastAsia="方正仿宋_GBK" w:cs="Times New Roman"/>
          <w:kern w:val="2"/>
          <w:sz w:val="32"/>
          <w:szCs w:val="32"/>
          <w:highlight w:val="none"/>
          <w:lang w:val="en-US" w:eastAsia="zh-CN" w:bidi="ar-SA"/>
        </w:rPr>
        <w:t>十二</w:t>
      </w:r>
      <w:r>
        <w:rPr>
          <w:rFonts w:hint="default" w:ascii="Times New Roman" w:hAnsi="Times New Roman" w:eastAsia="方正仿宋_GBK" w:cs="Times New Roman"/>
          <w:kern w:val="2"/>
          <w:sz w:val="32"/>
          <w:szCs w:val="32"/>
          <w:highlight w:val="none"/>
          <w:lang w:val="en-US" w:eastAsia="zh-CN" w:bidi="ar-SA"/>
        </w:rPr>
        <w:t>）《惠州市推进包容审慎工作实施方案》（惠市司通〔2022〕35号）</w:t>
      </w:r>
    </w:p>
    <w:p w14:paraId="3E536B84">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w:t>
      </w:r>
      <w:r>
        <w:rPr>
          <w:rFonts w:hint="eastAsia" w:ascii="Times New Roman" w:hAnsi="Times New Roman" w:eastAsia="方正仿宋_GBK" w:cs="Times New Roman"/>
          <w:kern w:val="2"/>
          <w:sz w:val="32"/>
          <w:szCs w:val="32"/>
          <w:highlight w:val="none"/>
          <w:lang w:val="en-US" w:eastAsia="zh-CN" w:bidi="ar-SA"/>
        </w:rPr>
        <w:t>十三</w:t>
      </w:r>
      <w:r>
        <w:rPr>
          <w:rFonts w:hint="default" w:ascii="Times New Roman" w:hAnsi="Times New Roman" w:eastAsia="方正仿宋_GBK" w:cs="Times New Roman"/>
          <w:kern w:val="2"/>
          <w:sz w:val="32"/>
          <w:szCs w:val="32"/>
          <w:highlight w:val="none"/>
          <w:lang w:val="en-US" w:eastAsia="zh-CN" w:bidi="ar-SA"/>
        </w:rPr>
        <w:t>）《惠州市城乡管理和综合执法局关于城管执法轻微违法违规行为免罚清单》</w:t>
      </w:r>
    </w:p>
    <w:p w14:paraId="605608A4">
      <w:pPr>
        <w:pStyle w:val="2"/>
        <w:keepNext w:val="0"/>
        <w:keepLines w:val="0"/>
        <w:pageBreakBefore w:val="0"/>
        <w:kinsoku/>
        <w:wordWrap/>
        <w:overflowPunct/>
        <w:topLinePunct w:val="0"/>
        <w:bidi w:val="0"/>
        <w:snapToGrid/>
        <w:spacing w:line="580" w:lineRule="exact"/>
        <w:ind w:left="1598" w:leftChars="304" w:hanging="960" w:hangingChars="3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w:t>
      </w:r>
      <w:r>
        <w:rPr>
          <w:rFonts w:hint="eastAsia" w:ascii="Times New Roman" w:hAnsi="Times New Roman" w:eastAsia="方正仿宋_GBK" w:cs="Times New Roman"/>
          <w:kern w:val="2"/>
          <w:sz w:val="32"/>
          <w:szCs w:val="32"/>
          <w:highlight w:val="none"/>
          <w:lang w:val="en-US" w:eastAsia="zh-CN" w:bidi="ar-SA"/>
        </w:rPr>
        <w:t>十四</w:t>
      </w:r>
      <w:r>
        <w:rPr>
          <w:rFonts w:hint="default" w:ascii="Times New Roman" w:hAnsi="Times New Roman" w:eastAsia="方正仿宋_GBK" w:cs="Times New Roman"/>
          <w:kern w:val="2"/>
          <w:sz w:val="32"/>
          <w:szCs w:val="32"/>
          <w:highlight w:val="none"/>
          <w:lang w:val="en-US" w:eastAsia="zh-CN" w:bidi="ar-SA"/>
        </w:rPr>
        <w:t>）《关于做好包容审慎监管工作的通知》</w:t>
      </w:r>
    </w:p>
    <w:p w14:paraId="5D457B18">
      <w:pPr>
        <w:keepNext w:val="0"/>
        <w:keepLines w:val="0"/>
        <w:pageBreakBefore w:val="0"/>
        <w:widowControl w:val="0"/>
        <w:numPr>
          <w:ilvl w:val="0"/>
          <w:numId w:val="0"/>
        </w:numPr>
        <w:tabs>
          <w:tab w:val="left" w:pos="3869"/>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三、主要原则</w:t>
      </w:r>
    </w:p>
    <w:p w14:paraId="6E35128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（一）严格遵守有关法律法规的规定。《清单》的制定严格遵守《中华人民共和国行政处罚法》</w:t>
      </w:r>
      <w:r>
        <w:rPr>
          <w:rFonts w:hint="eastAsia" w:ascii="Times New Roman" w:hAnsi="Times New Roman" w:eastAsia="方正仿宋_GBK" w:cs="Times New Roman"/>
          <w:kern w:val="2"/>
          <w:sz w:val="32"/>
          <w:szCs w:val="32"/>
          <w:highlight w:val="none"/>
          <w:lang w:val="en-US" w:eastAsia="zh-CN" w:bidi="ar-SA"/>
        </w:rPr>
        <w:t>《中华人民共和国固体废物污染环境防治法》等法律法规</w:t>
      </w:r>
      <w:r>
        <w:rPr>
          <w:rFonts w:hint="default" w:ascii="Times New Roman" w:hAnsi="Times New Roman" w:eastAsia="方正仿宋_GBK" w:cs="Times New Roman"/>
          <w:kern w:val="2"/>
          <w:sz w:val="32"/>
          <w:szCs w:val="32"/>
          <w:highlight w:val="none"/>
          <w:lang w:val="en-US" w:eastAsia="zh-CN" w:bidi="ar-SA"/>
        </w:rPr>
        <w:t>的规定，不创设、不突破；</w:t>
      </w:r>
    </w:p>
    <w:p w14:paraId="7A1CB0E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（二）严格落实及时纠正的要求。单位和个人实施《清单》规定的轻微违法行为，符合条件后虽可不予处罚，但绝非放松监管要求，必须严格履行整改义务，按要求完成整改。</w:t>
      </w:r>
    </w:p>
    <w:p w14:paraId="3531FEB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三）坚持处罚与教育相结合。执法的目的是纠正违法行为，教育行政相对人自觉守法，通过综合运用教育、告诫、引导等多种手段，提升行政相对人守法意识，避免日后此类违法行为再次发生，实现法律效果和社会效果的相统一。</w:t>
      </w:r>
    </w:p>
    <w:p w14:paraId="6D104BF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四）不排除其他不予处罚的情形。对未列入《免罚清单》，但其违法行为的性质、情节、社会危害程度等符合《中华人民共和国行政处罚法》等法律、法规、规章规定的不予处罚情形的城管执法领域轻微违法行为，不予行政处罚。</w:t>
      </w:r>
    </w:p>
    <w:p w14:paraId="36A908C3">
      <w:pPr>
        <w:keepNext w:val="0"/>
        <w:keepLines w:val="0"/>
        <w:pageBreakBefore w:val="0"/>
        <w:widowControl w:val="0"/>
        <w:numPr>
          <w:ilvl w:val="0"/>
          <w:numId w:val="1"/>
        </w:numPr>
        <w:tabs>
          <w:tab w:val="left" w:pos="3869"/>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主要内容</w:t>
      </w:r>
    </w:p>
    <w:p w14:paraId="10E2CA6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（一）《清单》设定的</w:t>
      </w:r>
      <w:r>
        <w:rPr>
          <w:rFonts w:hint="default" w:ascii="Times New Roman" w:hAnsi="Times New Roman" w:eastAsia="方正仿宋_GBK" w:cs="Times New Roman"/>
          <w:kern w:val="2"/>
          <w:sz w:val="32"/>
          <w:szCs w:val="32"/>
          <w:highlight w:val="none"/>
          <w:lang w:val="en-US" w:eastAsia="zh-CN" w:bidi="ar-SA"/>
        </w:rPr>
        <w:t>轻微违法</w:t>
      </w:r>
      <w:r>
        <w:rPr>
          <w:rFonts w:hint="eastAsia" w:ascii="Times New Roman" w:hAnsi="Times New Roman" w:eastAsia="方正仿宋_GBK" w:cs="Times New Roman"/>
          <w:kern w:val="2"/>
          <w:sz w:val="32"/>
          <w:szCs w:val="32"/>
          <w:highlight w:val="none"/>
          <w:lang w:val="en-US" w:eastAsia="zh-CN" w:bidi="ar-SA"/>
        </w:rPr>
        <w:t>行为主要涉及市容环境卫生领域，共设定了37项。不予行政处罚需要</w:t>
      </w:r>
      <w:r>
        <w:rPr>
          <w:rFonts w:hint="default" w:ascii="Times New Roman" w:hAnsi="Times New Roman" w:eastAsia="方正仿宋_GBK" w:cs="Times New Roman"/>
          <w:kern w:val="2"/>
          <w:sz w:val="32"/>
          <w:szCs w:val="32"/>
          <w:highlight w:val="none"/>
          <w:lang w:val="en-US" w:eastAsia="zh-CN" w:bidi="ar-SA"/>
        </w:rPr>
        <w:t>符合</w:t>
      </w:r>
      <w:r>
        <w:rPr>
          <w:rFonts w:hint="default" w:ascii="Times New Roman" w:hAnsi="Times New Roman" w:eastAsia="方正仿宋_GBK" w:cs="Times New Roman"/>
          <w:b w:val="0"/>
          <w:bCs w:val="0"/>
          <w:color w:val="auto"/>
          <w:kern w:val="2"/>
          <w:sz w:val="32"/>
          <w:szCs w:val="32"/>
          <w:highlight w:val="none"/>
          <w:lang w:val="en-US" w:eastAsia="zh-CN" w:bidi="ar-SA"/>
        </w:rPr>
        <w:t>《中华人民共和国行政处罚法》</w:t>
      </w:r>
      <w:r>
        <w:rPr>
          <w:rFonts w:hint="default" w:ascii="Times New Roman" w:hAnsi="Times New Roman" w:eastAsia="方正仿宋_GBK" w:cs="Times New Roman"/>
          <w:kern w:val="2"/>
          <w:sz w:val="32"/>
          <w:szCs w:val="32"/>
          <w:highlight w:val="none"/>
          <w:lang w:val="en-US" w:eastAsia="zh-CN" w:bidi="ar-SA"/>
        </w:rPr>
        <w:t>第33条规定的“初次违法且危害后果轻微”要件，</w:t>
      </w:r>
      <w:r>
        <w:rPr>
          <w:rFonts w:hint="eastAsia" w:ascii="Times New Roman" w:hAnsi="Times New Roman" w:eastAsia="方正仿宋_GBK" w:cs="Times New Roman"/>
          <w:kern w:val="2"/>
          <w:sz w:val="32"/>
          <w:szCs w:val="32"/>
          <w:highlight w:val="none"/>
          <w:lang w:val="en-US" w:eastAsia="zh-CN" w:bidi="ar-SA"/>
        </w:rPr>
        <w:t>同时对</w:t>
      </w:r>
      <w:r>
        <w:rPr>
          <w:rFonts w:hint="default" w:ascii="Times New Roman" w:hAnsi="Times New Roman" w:eastAsia="方正仿宋_GBK" w:cs="Times New Roman"/>
          <w:kern w:val="2"/>
          <w:sz w:val="32"/>
          <w:szCs w:val="32"/>
          <w:highlight w:val="none"/>
          <w:lang w:val="en-US" w:eastAsia="zh-CN" w:bidi="ar-SA"/>
        </w:rPr>
        <w:t>“轻微”量化标准</w:t>
      </w:r>
      <w:r>
        <w:rPr>
          <w:rFonts w:hint="eastAsia" w:ascii="Times New Roman" w:hAnsi="Times New Roman" w:eastAsia="方正仿宋_GBK" w:cs="Times New Roman"/>
          <w:kern w:val="2"/>
          <w:sz w:val="32"/>
          <w:szCs w:val="32"/>
          <w:highlight w:val="none"/>
          <w:lang w:val="en-US" w:eastAsia="zh-CN" w:bidi="ar-SA"/>
        </w:rPr>
        <w:t>进行</w:t>
      </w:r>
      <w:r>
        <w:rPr>
          <w:rFonts w:hint="default" w:ascii="Times New Roman" w:hAnsi="Times New Roman" w:eastAsia="方正仿宋_GBK" w:cs="Times New Roman"/>
          <w:kern w:val="2"/>
          <w:sz w:val="32"/>
          <w:szCs w:val="32"/>
          <w:highlight w:val="none"/>
          <w:lang w:val="en-US" w:eastAsia="zh-CN" w:bidi="ar-SA"/>
        </w:rPr>
        <w:t>明确</w:t>
      </w:r>
      <w:r>
        <w:rPr>
          <w:rFonts w:hint="eastAsia" w:ascii="Times New Roman" w:hAnsi="Times New Roman" w:eastAsia="方正仿宋_GBK" w:cs="Times New Roman"/>
          <w:kern w:val="2"/>
          <w:sz w:val="32"/>
          <w:szCs w:val="32"/>
          <w:highlight w:val="none"/>
          <w:lang w:val="en-US" w:eastAsia="zh-CN" w:bidi="ar-SA"/>
        </w:rPr>
        <w:t>，严格界定使用情形</w:t>
      </w:r>
      <w:r>
        <w:rPr>
          <w:rFonts w:hint="default" w:ascii="Times New Roman" w:hAnsi="Times New Roman" w:eastAsia="方正仿宋_GBK" w:cs="Times New Roman"/>
          <w:kern w:val="2"/>
          <w:sz w:val="32"/>
          <w:szCs w:val="32"/>
          <w:highlight w:val="none"/>
          <w:lang w:val="en-US" w:eastAsia="zh-CN" w:bidi="ar-SA"/>
        </w:rPr>
        <w:t>。</w:t>
      </w:r>
    </w:p>
    <w:p w14:paraId="350F980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（二）</w:t>
      </w:r>
      <w:r>
        <w:rPr>
          <w:rFonts w:hint="default" w:ascii="Times New Roman" w:hAnsi="Times New Roman" w:eastAsia="方正仿宋_GBK" w:cs="Times New Roman"/>
          <w:kern w:val="2"/>
          <w:sz w:val="32"/>
          <w:szCs w:val="32"/>
          <w:highlight w:val="none"/>
          <w:lang w:val="en-US" w:eastAsia="zh-CN" w:bidi="ar-SA"/>
        </w:rPr>
        <w:t>推行轻微违法违规行为免罚告知承诺制，行政执法机关在适用《免罚清单》作出免于行政处罚决定前，履行告知承诺程序，要求当事人作出守法承诺，“若未履行承诺的或者再发生相同违法行为的，愿依法承担相应的法律责任。”</w:t>
      </w:r>
    </w:p>
    <w:p w14:paraId="7FDFBF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方正仿宋_GBK" w:cs="Times New Roman"/>
          <w:kern w:val="2"/>
          <w:sz w:val="32"/>
          <w:szCs w:val="32"/>
          <w:highlight w:val="none"/>
          <w:lang w:val="en-US" w:eastAsia="zh-CN" w:bidi="ar-SA"/>
        </w:rPr>
      </w:pPr>
    </w:p>
    <w:p w14:paraId="6016D4EA">
      <w:pPr>
        <w:pStyle w:val="2"/>
        <w:numPr>
          <w:ilvl w:val="0"/>
          <w:numId w:val="0"/>
        </w:numPr>
        <w:jc w:val="both"/>
        <w:rPr>
          <w:rFonts w:hint="default" w:ascii="Times New Roman" w:hAnsi="Times New Roman" w:eastAsia="方正仿宋_GBK" w:cs="Times New Roman"/>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PMAK+SimSun">
    <w:altName w:val="宋体"/>
    <w:panose1 w:val="00000000000000000000"/>
    <w:charset w:val="86"/>
    <w:family w:val="roma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embedRegular r:id="rId1" w:fontKey="{24192D4F-5988-4BF1-AEC4-56B2E8AD516A}"/>
  </w:font>
  <w:font w:name="方正仿宋_GBK">
    <w:panose1 w:val="02000000000000000000"/>
    <w:charset w:val="86"/>
    <w:family w:val="auto"/>
    <w:pitch w:val="default"/>
    <w:sig w:usb0="00000001" w:usb1="080E0000" w:usb2="00000000" w:usb3="00000000" w:csb0="00040000" w:csb1="00000000"/>
    <w:embedRegular r:id="rId2" w:fontKey="{05A4AFC9-9253-49C1-8071-D2C5E93D5BC6}"/>
  </w:font>
  <w:font w:name="仿宋">
    <w:panose1 w:val="02010609060101010101"/>
    <w:charset w:val="86"/>
    <w:family w:val="auto"/>
    <w:pitch w:val="default"/>
    <w:sig w:usb0="800002BF" w:usb1="38CF7CFA" w:usb2="00000016" w:usb3="00000000" w:csb0="00040001" w:csb1="00000000"/>
    <w:embedRegular r:id="rId3" w:fontKey="{CD7EB473-7CD6-4FEE-8DD7-571524D3EBF2}"/>
  </w:font>
  <w:font w:name="方正黑体_GBK">
    <w:panose1 w:val="02000000000000000000"/>
    <w:charset w:val="86"/>
    <w:family w:val="auto"/>
    <w:pitch w:val="default"/>
    <w:sig w:usb0="A00002BF" w:usb1="38CF7CFA" w:usb2="00082016" w:usb3="00000000" w:csb0="00040001" w:csb1="00000000"/>
    <w:embedRegular r:id="rId4" w:fontKey="{639A44F3-F6E7-4B23-BA64-1D741454B86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87AFD"/>
    <w:multiLevelType w:val="singleLevel"/>
    <w:tmpl w:val="9EA87AF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41080"/>
    <w:rsid w:val="07CF5DE6"/>
    <w:rsid w:val="093E76C7"/>
    <w:rsid w:val="0D9E6986"/>
    <w:rsid w:val="103B4960"/>
    <w:rsid w:val="1094447F"/>
    <w:rsid w:val="10CC6670"/>
    <w:rsid w:val="155B6F0B"/>
    <w:rsid w:val="16CE1EC3"/>
    <w:rsid w:val="17397720"/>
    <w:rsid w:val="17546308"/>
    <w:rsid w:val="17F11DA8"/>
    <w:rsid w:val="19573E8D"/>
    <w:rsid w:val="22C027CF"/>
    <w:rsid w:val="273A6DE7"/>
    <w:rsid w:val="273B621A"/>
    <w:rsid w:val="27BF157B"/>
    <w:rsid w:val="29950F67"/>
    <w:rsid w:val="29A35500"/>
    <w:rsid w:val="35396A4F"/>
    <w:rsid w:val="369F0CF8"/>
    <w:rsid w:val="39CD59D6"/>
    <w:rsid w:val="3C740137"/>
    <w:rsid w:val="3DE75B55"/>
    <w:rsid w:val="3F2A6D1A"/>
    <w:rsid w:val="3FD339BE"/>
    <w:rsid w:val="43992441"/>
    <w:rsid w:val="451A6EA1"/>
    <w:rsid w:val="46A47E62"/>
    <w:rsid w:val="46C3676D"/>
    <w:rsid w:val="482254E2"/>
    <w:rsid w:val="48D013E2"/>
    <w:rsid w:val="4938207C"/>
    <w:rsid w:val="4C581049"/>
    <w:rsid w:val="4CE51DD8"/>
    <w:rsid w:val="4D6322B3"/>
    <w:rsid w:val="4D6B792C"/>
    <w:rsid w:val="4ECE5EB3"/>
    <w:rsid w:val="4F607513"/>
    <w:rsid w:val="4FBB7FCB"/>
    <w:rsid w:val="52263E21"/>
    <w:rsid w:val="52AA2CA4"/>
    <w:rsid w:val="534B5AE5"/>
    <w:rsid w:val="53C102A5"/>
    <w:rsid w:val="59796F2C"/>
    <w:rsid w:val="5B477199"/>
    <w:rsid w:val="5CC93D27"/>
    <w:rsid w:val="5D355860"/>
    <w:rsid w:val="5E46049C"/>
    <w:rsid w:val="5E7B4CAB"/>
    <w:rsid w:val="60D17358"/>
    <w:rsid w:val="6191575F"/>
    <w:rsid w:val="6194595A"/>
    <w:rsid w:val="630D653E"/>
    <w:rsid w:val="6434264D"/>
    <w:rsid w:val="65C46E98"/>
    <w:rsid w:val="68CF62A3"/>
    <w:rsid w:val="6ABD1C05"/>
    <w:rsid w:val="6BB34520"/>
    <w:rsid w:val="6D125276"/>
    <w:rsid w:val="6D185670"/>
    <w:rsid w:val="714D0F73"/>
    <w:rsid w:val="74F82FA3"/>
    <w:rsid w:val="75E96D32"/>
    <w:rsid w:val="76674885"/>
    <w:rsid w:val="77125072"/>
    <w:rsid w:val="7A1A1C0E"/>
    <w:rsid w:val="7A993E27"/>
    <w:rsid w:val="7B0F312C"/>
    <w:rsid w:val="7BAB20D9"/>
    <w:rsid w:val="FF5F1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MAPMAK+SimSun" w:hAnsi="Calibri" w:eastAsia="MAPMAK+SimSun" w:cs="MAPMAK+SimSun"/>
      <w:color w:val="000000"/>
      <w:kern w:val="0"/>
      <w:sz w:val="24"/>
      <w:szCs w:val="24"/>
      <w:lang w:val="en-US" w:eastAsia="zh-CN" w:bidi="ar-SA"/>
    </w:rPr>
  </w:style>
  <w:style w:type="paragraph" w:styleId="3">
    <w:name w:val="toc 2"/>
    <w:basedOn w:val="1"/>
    <w:next w:val="1"/>
    <w:qFormat/>
    <w:uiPriority w:val="39"/>
    <w:pPr>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1367</Words>
  <Characters>1410</Characters>
  <Lines>0</Lines>
  <Paragraphs>0</Paragraphs>
  <TotalTime>2</TotalTime>
  <ScaleCrop>false</ScaleCrop>
  <LinksUpToDate>false</LinksUpToDate>
  <CharactersWithSpaces>1410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2025-07-20T13:59:00Z</dcterms:created>
  <dc:creator>Administrator</dc:creator>
  <cp:lastModifiedBy>张晓安</cp:lastModifiedBy>
  <dcterms:modified xsi:type="dcterms:W3CDTF">2025-10-21T00:59:21Z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eyJoZGlkIjoiN2QyNGU0Yzk5YmVkY2FiYzMxYmVjMDA2MGMwZTQ3ZjciLCJ1c2VySWQiOiIxNjc1MDQwODExIn0=</vt:lpwstr>
  </property>
  <property fmtid="{D5CDD505-2E9C-101B-9397-08002B2CF9AE}" pid="4" name="ICV">
    <vt:lpwstr>F01200748C3B4476AACC9EC8B358417D_12</vt:lpwstr>
  </property>
</Properties>
</file>