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57C4">
      <w:pPr>
        <w:keepNext w:val="0"/>
        <w:keepLines w:val="0"/>
        <w:pageBreakBefore w:val="0"/>
        <w:widowControl w:val="0"/>
        <w:kinsoku/>
        <w:wordWrap/>
        <w:overflowPunct/>
        <w:topLinePunct w:val="0"/>
        <w:autoSpaceDE/>
        <w:autoSpaceDN/>
        <w:bidi w:val="0"/>
        <w:adjustRightInd w:val="0"/>
        <w:snapToGrid/>
        <w:spacing w:before="292" w:beforeLines="50" w:after="292" w:afterLines="50" w:line="560" w:lineRule="exact"/>
        <w:jc w:val="center"/>
        <w:textAlignment w:val="auto"/>
        <w:rPr>
          <w:rFonts w:eastAsia="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t>《惠州市惠阳区科技信贷风险补偿金管理办法（修订稿）》修订说明</w:t>
      </w:r>
      <w: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br w:type="textWrapping"/>
      </w:r>
    </w:p>
    <w:p w14:paraId="38A983A8">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Arial Unicode MS" w:hAnsi="Arial Unicode MS" w:eastAsia="Arial Unicode MS" w:cs="Arial Unicode MS"/>
          <w:color w:val="000000" w:themeColor="text1"/>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、修订理由</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p>
    <w:p w14:paraId="12EA6FC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党的十八大以来，习近平总书记多次作出了重要的指示批示，强调要深入推进公平竞争政策，全面落实公平竞争审查制度，消除各种市场壁垒，使各类资本机会平等、公平进入、有序竞争。2024年8月1日《公平竞争审查条例》正式施行，提出不得限制事项“限制外地或者进口商品、要素进入本地市场，或者阻碍本地经营者迁出，商品、要素输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2025年4月20日《公平竞争审查条例实施办法》正式施行，将《公平竞争审查条例》19项禁止性规定细化为66项具体情形，提出“起草涉及经营者经济活动的政策措施，不得含有下列对市场准入负面清单以外的行业、领域、业务等违法设置市场准入审批程序的内容”。我局依据公平竞争审查制度的相关要求，对之前印发《惠州市惠阳区科技信贷风险补偿金管理办法（试行）》（惠阳科字〔2025〕12号）进行自查和修订。</w:t>
      </w:r>
    </w:p>
    <w:p w14:paraId="7085C2CC">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Arial Unicode MS" w:hAnsi="Arial Unicode MS" w:eastAsia="Arial Unicode MS" w:cs="Arial Unicode MS"/>
          <w:color w:val="000000" w:themeColor="text1"/>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二、政策依据</w:t>
      </w:r>
      <w:r>
        <w:rPr>
          <w:rFonts w:hint="eastAsia" w:ascii="Arial Unicode MS" w:hAnsi="Arial Unicode MS" w:eastAsia="Arial Unicode MS" w:cs="Arial Unicode MS"/>
          <w:color w:val="000000" w:themeColor="text1"/>
          <w:lang w:val="en-US" w:eastAsia="zh-CN"/>
          <w14:textFill>
            <w14:solidFill>
              <w14:schemeClr w14:val="tx1"/>
            </w14:solidFill>
          </w14:textFill>
        </w:rPr>
        <w:t xml:space="preserve"> </w:t>
      </w:r>
    </w:p>
    <w:p w14:paraId="12F699A7">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《广东省科技创新条例》</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7C29C0C3">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《广东省人民政府办公厅印发关于加快推进科技金融深度融合助力科技型企业创新发展实施意见的通知》（粤府办〔2024〕2号）</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2213432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《广东省科学技术厅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广东省财政厅 中国人民银行广东省分行 国家金融监督总局广东监管局关于印发广东省科技信贷风险补偿管理办法（试行）的通知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粤科规范字〔2024〕8号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33755B61">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（四）《公平竞争审查条例》；</w:t>
      </w:r>
    </w:p>
    <w:p w14:paraId="0E38D2D9">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（五）</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《公平竞争审查条例实施办法》。</w:t>
      </w:r>
    </w:p>
    <w:p w14:paraId="44F2B8BD">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、修订内容</w:t>
      </w:r>
    </w:p>
    <w:p w14:paraId="68B888B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根据《公平竞争审查条例实施办法》第九条第二项“在全国统一的市场准入负面清单之外违规设立准入许可，或者以备案、证明、目录、计划、规划、认证等方式，要求经营主体经申请获批后方可从事投资经营活动；”以及第十三条第二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根据经营者所有制形式、注册地、组织形式、规模设置歧视性的市场准入、退出条件；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”修订</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《管理办法》中涉及“白名单”和注册地限制等相关内容，具体修改内容如下：</w:t>
      </w:r>
    </w:p>
    <w:p w14:paraId="692820F4">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一）第八条“本办法所称的白名单，是指由主管部门发布的符合一定创新能力评价指标标准、无违法违规和信用不良记录、基本面较好且短期存在有效融资需求的，经区市场监督管理局核准登记，注册地在惠阳区的科技型企业名单。名单为惠阳区内科技信贷项目申报本风险补偿金提供依据。”修改为“本办法所称的科技型企业创新能力评价指标体系（以下简称‘创新指标’），是指主管部门以科技部《“创新积分制”工作指引（2.0版）》为核心遵循，结合我区区域产业特色，构建‘基础指标+区域特色指标’的科技型企业创新能力评分体系。创新指标可用于量化科技型企业的创新能力，为惠阳区内科技信贷项目申报本风险补偿金提供依据。”</w:t>
      </w:r>
    </w:p>
    <w:p w14:paraId="7C997922">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（二）第十条第一项“</w:t>
      </w:r>
      <w:r>
        <w:rPr>
          <w:rFonts w:hint="default" w:ascii="Times New Roman" w:hAnsi="Times New Roman" w:eastAsia="方正仿宋_GBK" w:cs="Times New Roman"/>
          <w:color w:val="000000" w:themeColor="text1"/>
          <w:sz w:val="32"/>
          <w:szCs w:val="32"/>
          <w14:textFill>
            <w14:solidFill>
              <w14:schemeClr w14:val="tx1"/>
            </w14:solidFill>
          </w14:textFill>
        </w:rPr>
        <w:t>1.牵头制定相关制度性文件。制定《惠州市惠阳区科技信贷风险补偿金管理实施细则》，对相关程序进行明确；在科技部发布的《“创新积分制”工作指引（全国试行版）》的基础上建立科技型企业创新能力</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白名单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评价指标体系，发布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白名单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公示公告；</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修改为“1.牵头制定相关制度性文件。制定《惠州市惠阳区科技信贷风险补偿金管理实施细则》，明确相关程序；在科技部发布的《“创新积分制”工作指引（2.0版）》的基础上建立科技型企业创新能力评价指标体系，发布创新能力评分分级分档结果；”</w:t>
      </w:r>
    </w:p>
    <w:p w14:paraId="11847310">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（三）第十一条第一项“</w:t>
      </w:r>
      <w:r>
        <w:rPr>
          <w:rFonts w:hint="default" w:ascii="Times New Roman" w:hAnsi="Times New Roman" w:eastAsia="方正仿宋_GBK" w:cs="Times New Roman"/>
          <w:color w:val="000000" w:themeColor="text1"/>
          <w:sz w:val="32"/>
          <w:szCs w:val="32"/>
          <w14:textFill>
            <w14:solidFill>
              <w14:schemeClr w14:val="tx1"/>
            </w14:solidFill>
          </w14:textFill>
        </w:rPr>
        <w:t>常态化受理科技型企业申报纳入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白名单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工作，对申报主体开展尽职调查工作，按照相关制度和标准进行评价，将符合条件的科技型企业纳入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白名单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，并报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主管</w:t>
      </w:r>
      <w:r>
        <w:rPr>
          <w:rFonts w:hint="default" w:ascii="Times New Roman" w:hAnsi="Times New Roman" w:eastAsia="方正仿宋_GBK" w:cs="Times New Roman"/>
          <w:color w:val="000000" w:themeColor="text1"/>
          <w:sz w:val="32"/>
          <w:szCs w:val="32"/>
          <w14:textFill>
            <w14:solidFill>
              <w14:schemeClr w14:val="tx1"/>
            </w14:solidFill>
          </w14:textFill>
        </w:rPr>
        <w:t>部门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审核后</w:t>
      </w:r>
      <w:r>
        <w:rPr>
          <w:rFonts w:hint="default" w:ascii="Times New Roman" w:hAnsi="Times New Roman" w:eastAsia="方正仿宋_GBK" w:cs="Times New Roman"/>
          <w:color w:val="000000" w:themeColor="text1"/>
          <w:sz w:val="32"/>
          <w:szCs w:val="32"/>
          <w14:textFill>
            <w14:solidFill>
              <w14:schemeClr w14:val="tx1"/>
            </w14:solidFill>
          </w14:textFill>
        </w:rPr>
        <w:t>进行公示和发布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；”修改为“常态化受理科技型企业申请创新能力评分工作，对申请主体开展尽职调查工作，按照相关制度和创新指标如实评价，形成创新能力评分分级分档结果，并报主管部门审核后进行公示和发布；”</w:t>
      </w:r>
    </w:p>
    <w:p w14:paraId="07B2A18E">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四）第十五条第一项“1.经区市场监督管理局核准登记，具有独立的企业法人资格，获得贷款时未在境内外证券交易所上市；”修改为“1.取得市场监督管理部门核发的企业法人营业执照，获得贷款时未在境内外证券交易所上市；”</w:t>
      </w:r>
    </w:p>
    <w:p w14:paraId="590FF367">
      <w:pPr>
        <w:keepNext w:val="0"/>
        <w:keepLines w:val="0"/>
        <w:pageBreakBefore w:val="0"/>
        <w:widowControl w:val="0"/>
        <w:kinsoku/>
        <w:wordWrap/>
        <w:overflowPunct/>
        <w:topLinePunct w:val="0"/>
        <w:autoSpaceDE/>
        <w:autoSpaceDN/>
        <w:bidi w:val="0"/>
        <w:adjustRightInd w:val="0"/>
        <w:snapToGrid/>
        <w:spacing w:line="560" w:lineRule="exact"/>
        <w:ind w:right="476"/>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“4.获得贷款前经科技型企业创新能力‘白名单’评价指标评判，结果为‘纳入白名单’；”修改为“4.企业经由创新指标评分，获得A、B级得分；”</w:t>
      </w:r>
    </w:p>
    <w:p w14:paraId="3BF3D9C7">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第十九条第四项“贷后管理。合作银行、合作融资担保机构按有关规定和服务承诺对贷款项目进行贷后管理。科技信贷项目贷款对象符合办理续贷条件，经‘白名单’评价指标重新评价且结果为‘纳入白名单’的，相应续贷项目可纳入风险补偿金补偿范围。”修改为“贷后管理。合作银行、合作融资担保机构按有关规定和服务承诺对贷款项目进行贷后管理。科技信贷项目贷款对象符合办理续贷条件，经由创新指标重新评价，在相应分组获得A、B级得分的，相应续贷项目可纳入风险补偿金补偿范围。”</w:t>
      </w:r>
    </w:p>
    <w:p w14:paraId="5025C127">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right="476"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第二十八条“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......区科技和投资促进局可视实际情况对</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‘白名单’</w:t>
      </w:r>
      <w:bookmarkStart w:id="0" w:name="_GoBack"/>
      <w:bookmarkEnd w:id="0"/>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评价指标进行适当调整。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”修改为“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......区科技和投资促进局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可视实际情况对创新指标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进行适当调整。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74F18C55">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、下一步工作考虑</w:t>
      </w:r>
    </w:p>
    <w:p w14:paraId="23DB0530">
      <w:pPr>
        <w:keepNext w:val="0"/>
        <w:keepLines w:val="0"/>
        <w:pageBreakBefore w:val="0"/>
        <w:widowControl w:val="0"/>
        <w:kinsoku/>
        <w:wordWrap/>
        <w:overflowPunct/>
        <w:topLinePunct w:val="0"/>
        <w:autoSpaceDE/>
        <w:autoSpaceDN/>
        <w:bidi w:val="0"/>
        <w:adjustRightInd w:val="0"/>
        <w:snapToGrid/>
        <w:spacing w:line="560" w:lineRule="exact"/>
        <w:ind w:right="476" w:firstLine="632" w:firstLineChars="200"/>
        <w:textAlignment w:val="auto"/>
        <w:rPr>
          <w:rFonts w:ascii="Times New Roman" w:hAnsi="Times New Roman" w:eastAsia="仿宋"/>
          <w:sz w:val="32"/>
          <w:szCs w:val="32"/>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《管理办法》按规范性文件制定与管理规定报批通过后，由区科技和投资促进局、区财政局联合印发实施。</w:t>
      </w:r>
    </w:p>
    <w:sectPr>
      <w:footerReference r:id="rId3" w:type="default"/>
      <w:footerReference r:id="rId4" w:type="even"/>
      <w:pgSz w:w="11906" w:h="16838"/>
      <w:pgMar w:top="2154" w:right="1587" w:bottom="2041"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5DC5">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205E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2205E92">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1BEC">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55E7C2">
                          <w:pPr>
                            <w:pStyle w:val="5"/>
                            <w:rPr>
                              <w:rFonts w:asciiTheme="minorEastAsia" w:hAnsiTheme="minorEastAsia" w:eastAsiaTheme="minorEastAsia" w:cstheme="minorEastAsia"/>
                              <w:sz w:val="28"/>
                              <w:szCs w:val="28"/>
                            </w:rPr>
                          </w:pPr>
                        </w:p>
                        <w:p w14:paraId="45CA3E75">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055E7C2">
                    <w:pPr>
                      <w:pStyle w:val="5"/>
                      <w:rPr>
                        <w:rFonts w:asciiTheme="minorEastAsia" w:hAnsiTheme="minorEastAsia" w:eastAsiaTheme="minorEastAsia" w:cstheme="minorEastAsia"/>
                        <w:sz w:val="28"/>
                        <w:szCs w:val="28"/>
                      </w:rPr>
                    </w:pPr>
                  </w:p>
                  <w:p w14:paraId="45CA3E75">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BB484"/>
    <w:multiLevelType w:val="singleLevel"/>
    <w:tmpl w:val="7EFBB4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MzBjNmNmYjhiYWFhZDYzYTlkNGEyZmMyNDY1YTUifQ=="/>
    <w:docVar w:name="KSO_WPS_MARK_KEY" w:val="570ec016-558d-4d71-bd64-4c28bc65d079"/>
  </w:docVars>
  <w:rsids>
    <w:rsidRoot w:val="2F195A37"/>
    <w:rsid w:val="00005FA7"/>
    <w:rsid w:val="000138AA"/>
    <w:rsid w:val="0001402B"/>
    <w:rsid w:val="000304B0"/>
    <w:rsid w:val="00031219"/>
    <w:rsid w:val="00031EBC"/>
    <w:rsid w:val="000329A1"/>
    <w:rsid w:val="00041600"/>
    <w:rsid w:val="000451D8"/>
    <w:rsid w:val="0005281B"/>
    <w:rsid w:val="000608FA"/>
    <w:rsid w:val="00061F62"/>
    <w:rsid w:val="00064C0F"/>
    <w:rsid w:val="00065992"/>
    <w:rsid w:val="000671BC"/>
    <w:rsid w:val="00071B08"/>
    <w:rsid w:val="000911AD"/>
    <w:rsid w:val="00092BAC"/>
    <w:rsid w:val="000A31C8"/>
    <w:rsid w:val="000C04A5"/>
    <w:rsid w:val="000E0BA5"/>
    <w:rsid w:val="000F2608"/>
    <w:rsid w:val="00103F67"/>
    <w:rsid w:val="00106B10"/>
    <w:rsid w:val="00113EA1"/>
    <w:rsid w:val="00123B6E"/>
    <w:rsid w:val="001269CC"/>
    <w:rsid w:val="001333F3"/>
    <w:rsid w:val="00146E79"/>
    <w:rsid w:val="00161A20"/>
    <w:rsid w:val="0016446A"/>
    <w:rsid w:val="00170F85"/>
    <w:rsid w:val="001770A3"/>
    <w:rsid w:val="00181DB3"/>
    <w:rsid w:val="00186DA9"/>
    <w:rsid w:val="00190928"/>
    <w:rsid w:val="00190AC1"/>
    <w:rsid w:val="0019632A"/>
    <w:rsid w:val="001A47B1"/>
    <w:rsid w:val="001A6979"/>
    <w:rsid w:val="001D2446"/>
    <w:rsid w:val="001E4805"/>
    <w:rsid w:val="00207534"/>
    <w:rsid w:val="002242E0"/>
    <w:rsid w:val="00241078"/>
    <w:rsid w:val="00241E0C"/>
    <w:rsid w:val="002449D8"/>
    <w:rsid w:val="0024592A"/>
    <w:rsid w:val="00250446"/>
    <w:rsid w:val="00253BB4"/>
    <w:rsid w:val="00262001"/>
    <w:rsid w:val="0026335D"/>
    <w:rsid w:val="00264135"/>
    <w:rsid w:val="0027061D"/>
    <w:rsid w:val="00275E99"/>
    <w:rsid w:val="00275EBC"/>
    <w:rsid w:val="00292D3C"/>
    <w:rsid w:val="002C6488"/>
    <w:rsid w:val="002C7D98"/>
    <w:rsid w:val="002E140C"/>
    <w:rsid w:val="002F7C9D"/>
    <w:rsid w:val="00305C81"/>
    <w:rsid w:val="00311BAB"/>
    <w:rsid w:val="00321D0E"/>
    <w:rsid w:val="00334AC2"/>
    <w:rsid w:val="0034268F"/>
    <w:rsid w:val="00344D07"/>
    <w:rsid w:val="00346B71"/>
    <w:rsid w:val="00361D1B"/>
    <w:rsid w:val="00362F5A"/>
    <w:rsid w:val="00373CB8"/>
    <w:rsid w:val="00386781"/>
    <w:rsid w:val="003878BB"/>
    <w:rsid w:val="003A07A6"/>
    <w:rsid w:val="003B24B8"/>
    <w:rsid w:val="003B2DC2"/>
    <w:rsid w:val="003C2CB7"/>
    <w:rsid w:val="003C4A7F"/>
    <w:rsid w:val="003C531E"/>
    <w:rsid w:val="003D3B81"/>
    <w:rsid w:val="003D75B7"/>
    <w:rsid w:val="003F093D"/>
    <w:rsid w:val="003F1526"/>
    <w:rsid w:val="00401EB5"/>
    <w:rsid w:val="00420BCD"/>
    <w:rsid w:val="00420F6B"/>
    <w:rsid w:val="004420DF"/>
    <w:rsid w:val="00445137"/>
    <w:rsid w:val="004528A7"/>
    <w:rsid w:val="00465B4B"/>
    <w:rsid w:val="0047183A"/>
    <w:rsid w:val="004875DB"/>
    <w:rsid w:val="004903BC"/>
    <w:rsid w:val="00491134"/>
    <w:rsid w:val="00493FF4"/>
    <w:rsid w:val="004A0D59"/>
    <w:rsid w:val="004B3E4A"/>
    <w:rsid w:val="004F3DC0"/>
    <w:rsid w:val="004F77A1"/>
    <w:rsid w:val="00514CEF"/>
    <w:rsid w:val="0051691F"/>
    <w:rsid w:val="00533FF2"/>
    <w:rsid w:val="00541BEF"/>
    <w:rsid w:val="005428E5"/>
    <w:rsid w:val="00554176"/>
    <w:rsid w:val="00591D50"/>
    <w:rsid w:val="005A2334"/>
    <w:rsid w:val="005B45D8"/>
    <w:rsid w:val="005B645C"/>
    <w:rsid w:val="005B777D"/>
    <w:rsid w:val="005C1D67"/>
    <w:rsid w:val="005C4C24"/>
    <w:rsid w:val="005C63A3"/>
    <w:rsid w:val="005D694C"/>
    <w:rsid w:val="005F0DF5"/>
    <w:rsid w:val="005F3808"/>
    <w:rsid w:val="005F6BF1"/>
    <w:rsid w:val="0060736A"/>
    <w:rsid w:val="00625529"/>
    <w:rsid w:val="00626877"/>
    <w:rsid w:val="0063299F"/>
    <w:rsid w:val="00634C88"/>
    <w:rsid w:val="00636A85"/>
    <w:rsid w:val="00643F0C"/>
    <w:rsid w:val="006561AC"/>
    <w:rsid w:val="00661EE6"/>
    <w:rsid w:val="006655C5"/>
    <w:rsid w:val="006721A2"/>
    <w:rsid w:val="0067253B"/>
    <w:rsid w:val="00683EA3"/>
    <w:rsid w:val="00693B02"/>
    <w:rsid w:val="006967B4"/>
    <w:rsid w:val="006A2246"/>
    <w:rsid w:val="006A2294"/>
    <w:rsid w:val="006A3898"/>
    <w:rsid w:val="006A6A11"/>
    <w:rsid w:val="006B772E"/>
    <w:rsid w:val="006D2F33"/>
    <w:rsid w:val="006E7A02"/>
    <w:rsid w:val="00700110"/>
    <w:rsid w:val="00712FA3"/>
    <w:rsid w:val="00713493"/>
    <w:rsid w:val="00716670"/>
    <w:rsid w:val="00717847"/>
    <w:rsid w:val="00724BB5"/>
    <w:rsid w:val="00735B00"/>
    <w:rsid w:val="00762BD9"/>
    <w:rsid w:val="007632CD"/>
    <w:rsid w:val="00770BDD"/>
    <w:rsid w:val="00781D14"/>
    <w:rsid w:val="00787820"/>
    <w:rsid w:val="007A6A72"/>
    <w:rsid w:val="007A74E8"/>
    <w:rsid w:val="007A7800"/>
    <w:rsid w:val="007C3023"/>
    <w:rsid w:val="007C688B"/>
    <w:rsid w:val="007D2A91"/>
    <w:rsid w:val="007E1443"/>
    <w:rsid w:val="007E4613"/>
    <w:rsid w:val="00824778"/>
    <w:rsid w:val="00847E92"/>
    <w:rsid w:val="00877BF6"/>
    <w:rsid w:val="00885805"/>
    <w:rsid w:val="008A7586"/>
    <w:rsid w:val="008C16E2"/>
    <w:rsid w:val="008D1586"/>
    <w:rsid w:val="008E1DED"/>
    <w:rsid w:val="008E6775"/>
    <w:rsid w:val="008F316E"/>
    <w:rsid w:val="008F59C7"/>
    <w:rsid w:val="00905B4A"/>
    <w:rsid w:val="00912349"/>
    <w:rsid w:val="009227E8"/>
    <w:rsid w:val="00931B21"/>
    <w:rsid w:val="00932B79"/>
    <w:rsid w:val="00945387"/>
    <w:rsid w:val="00945AAE"/>
    <w:rsid w:val="00982190"/>
    <w:rsid w:val="00987E56"/>
    <w:rsid w:val="00995F2A"/>
    <w:rsid w:val="009B4812"/>
    <w:rsid w:val="009C35CC"/>
    <w:rsid w:val="009D1FF2"/>
    <w:rsid w:val="009D329A"/>
    <w:rsid w:val="009E7F17"/>
    <w:rsid w:val="00A05F3A"/>
    <w:rsid w:val="00A22853"/>
    <w:rsid w:val="00A7168C"/>
    <w:rsid w:val="00A73458"/>
    <w:rsid w:val="00A7367B"/>
    <w:rsid w:val="00A85B80"/>
    <w:rsid w:val="00A90054"/>
    <w:rsid w:val="00AA1309"/>
    <w:rsid w:val="00AA2604"/>
    <w:rsid w:val="00AA478B"/>
    <w:rsid w:val="00AA68CB"/>
    <w:rsid w:val="00AB29A2"/>
    <w:rsid w:val="00AB745A"/>
    <w:rsid w:val="00AD6380"/>
    <w:rsid w:val="00B06E6E"/>
    <w:rsid w:val="00B1629A"/>
    <w:rsid w:val="00B21A28"/>
    <w:rsid w:val="00B42402"/>
    <w:rsid w:val="00B46DB8"/>
    <w:rsid w:val="00B60756"/>
    <w:rsid w:val="00B807F6"/>
    <w:rsid w:val="00B84E54"/>
    <w:rsid w:val="00B901B1"/>
    <w:rsid w:val="00B908E6"/>
    <w:rsid w:val="00BA00DC"/>
    <w:rsid w:val="00BA0496"/>
    <w:rsid w:val="00BB4989"/>
    <w:rsid w:val="00BB5A05"/>
    <w:rsid w:val="00BF43AD"/>
    <w:rsid w:val="00C07A32"/>
    <w:rsid w:val="00C141D6"/>
    <w:rsid w:val="00C22277"/>
    <w:rsid w:val="00C339AF"/>
    <w:rsid w:val="00C37718"/>
    <w:rsid w:val="00C41620"/>
    <w:rsid w:val="00C51E1C"/>
    <w:rsid w:val="00C56323"/>
    <w:rsid w:val="00C6052F"/>
    <w:rsid w:val="00C629AD"/>
    <w:rsid w:val="00C64208"/>
    <w:rsid w:val="00C82C51"/>
    <w:rsid w:val="00C90001"/>
    <w:rsid w:val="00C9562E"/>
    <w:rsid w:val="00CA03F2"/>
    <w:rsid w:val="00CA2187"/>
    <w:rsid w:val="00CA48B3"/>
    <w:rsid w:val="00CA4E8C"/>
    <w:rsid w:val="00CB04AF"/>
    <w:rsid w:val="00CB5119"/>
    <w:rsid w:val="00CB57D7"/>
    <w:rsid w:val="00CC1998"/>
    <w:rsid w:val="00CD6104"/>
    <w:rsid w:val="00CD7480"/>
    <w:rsid w:val="00CE3848"/>
    <w:rsid w:val="00CF4F0D"/>
    <w:rsid w:val="00CF743F"/>
    <w:rsid w:val="00D05E7D"/>
    <w:rsid w:val="00D16AA0"/>
    <w:rsid w:val="00D418E6"/>
    <w:rsid w:val="00D44CBC"/>
    <w:rsid w:val="00D45CB6"/>
    <w:rsid w:val="00D4625E"/>
    <w:rsid w:val="00D54AD4"/>
    <w:rsid w:val="00D553A2"/>
    <w:rsid w:val="00D66AF9"/>
    <w:rsid w:val="00D82DAD"/>
    <w:rsid w:val="00D82F36"/>
    <w:rsid w:val="00D83496"/>
    <w:rsid w:val="00D85A64"/>
    <w:rsid w:val="00D95933"/>
    <w:rsid w:val="00DA4397"/>
    <w:rsid w:val="00DA55E5"/>
    <w:rsid w:val="00DB4AEF"/>
    <w:rsid w:val="00DB70B8"/>
    <w:rsid w:val="00DC0904"/>
    <w:rsid w:val="00DC4BD9"/>
    <w:rsid w:val="00DD4265"/>
    <w:rsid w:val="00DD588F"/>
    <w:rsid w:val="00DE7A49"/>
    <w:rsid w:val="00DF03A2"/>
    <w:rsid w:val="00DF7505"/>
    <w:rsid w:val="00E01131"/>
    <w:rsid w:val="00E052AE"/>
    <w:rsid w:val="00E10ADD"/>
    <w:rsid w:val="00E112C4"/>
    <w:rsid w:val="00E35D0A"/>
    <w:rsid w:val="00E43BB6"/>
    <w:rsid w:val="00E465D6"/>
    <w:rsid w:val="00E52B71"/>
    <w:rsid w:val="00E535BD"/>
    <w:rsid w:val="00E57A94"/>
    <w:rsid w:val="00E605CB"/>
    <w:rsid w:val="00E665F2"/>
    <w:rsid w:val="00E72BC2"/>
    <w:rsid w:val="00E76409"/>
    <w:rsid w:val="00E84462"/>
    <w:rsid w:val="00E96C31"/>
    <w:rsid w:val="00EB302C"/>
    <w:rsid w:val="00EB520B"/>
    <w:rsid w:val="00EB710E"/>
    <w:rsid w:val="00EC1DCD"/>
    <w:rsid w:val="00EC41E5"/>
    <w:rsid w:val="00EC7BEF"/>
    <w:rsid w:val="00EE072F"/>
    <w:rsid w:val="00EE60C3"/>
    <w:rsid w:val="00EE6A1F"/>
    <w:rsid w:val="00EE73F5"/>
    <w:rsid w:val="00EF3B34"/>
    <w:rsid w:val="00EF5829"/>
    <w:rsid w:val="00F0129B"/>
    <w:rsid w:val="00F125E5"/>
    <w:rsid w:val="00F130E8"/>
    <w:rsid w:val="00F227BB"/>
    <w:rsid w:val="00F242AF"/>
    <w:rsid w:val="00F31A15"/>
    <w:rsid w:val="00F34747"/>
    <w:rsid w:val="00F40623"/>
    <w:rsid w:val="00F41302"/>
    <w:rsid w:val="00F43E0A"/>
    <w:rsid w:val="00F6086F"/>
    <w:rsid w:val="00F613C2"/>
    <w:rsid w:val="00F64298"/>
    <w:rsid w:val="00F93978"/>
    <w:rsid w:val="00FA4DA1"/>
    <w:rsid w:val="00FA5D4A"/>
    <w:rsid w:val="00FC4F8D"/>
    <w:rsid w:val="00FD2F9E"/>
    <w:rsid w:val="00FD7D9E"/>
    <w:rsid w:val="00FE637A"/>
    <w:rsid w:val="00FF1276"/>
    <w:rsid w:val="080C102D"/>
    <w:rsid w:val="0AFA729B"/>
    <w:rsid w:val="0CEB52AE"/>
    <w:rsid w:val="0DB641A0"/>
    <w:rsid w:val="0F2317F7"/>
    <w:rsid w:val="12C813A7"/>
    <w:rsid w:val="134464D7"/>
    <w:rsid w:val="182A1DB2"/>
    <w:rsid w:val="1A920517"/>
    <w:rsid w:val="1F031672"/>
    <w:rsid w:val="26E47F35"/>
    <w:rsid w:val="27E1047E"/>
    <w:rsid w:val="2F195A37"/>
    <w:rsid w:val="2F7F85D3"/>
    <w:rsid w:val="37FDE39B"/>
    <w:rsid w:val="390D75B3"/>
    <w:rsid w:val="3AED5504"/>
    <w:rsid w:val="3C7B4C9E"/>
    <w:rsid w:val="3D0742A3"/>
    <w:rsid w:val="3DFAFEAF"/>
    <w:rsid w:val="3E4F3251"/>
    <w:rsid w:val="4389121A"/>
    <w:rsid w:val="439E6E16"/>
    <w:rsid w:val="476E313F"/>
    <w:rsid w:val="47B97463"/>
    <w:rsid w:val="484C19BF"/>
    <w:rsid w:val="4B9214C2"/>
    <w:rsid w:val="4BB399A1"/>
    <w:rsid w:val="4D736D82"/>
    <w:rsid w:val="4DE2660F"/>
    <w:rsid w:val="4E7FC5AC"/>
    <w:rsid w:val="52324824"/>
    <w:rsid w:val="54FDBFE6"/>
    <w:rsid w:val="57DEA818"/>
    <w:rsid w:val="5BEF369B"/>
    <w:rsid w:val="5E1B6804"/>
    <w:rsid w:val="5FD93D54"/>
    <w:rsid w:val="61A72625"/>
    <w:rsid w:val="63C41F59"/>
    <w:rsid w:val="64811EC7"/>
    <w:rsid w:val="64FD507E"/>
    <w:rsid w:val="6759039D"/>
    <w:rsid w:val="6AF72656"/>
    <w:rsid w:val="6BC17425"/>
    <w:rsid w:val="6D201119"/>
    <w:rsid w:val="6E7B9E46"/>
    <w:rsid w:val="6E913323"/>
    <w:rsid w:val="6EC0649A"/>
    <w:rsid w:val="6EFF4FFF"/>
    <w:rsid w:val="718106DB"/>
    <w:rsid w:val="71EB06FF"/>
    <w:rsid w:val="735F33AB"/>
    <w:rsid w:val="738D6292"/>
    <w:rsid w:val="75FDC9FD"/>
    <w:rsid w:val="77B745FF"/>
    <w:rsid w:val="77DDAE88"/>
    <w:rsid w:val="788617F4"/>
    <w:rsid w:val="7B7ECEAB"/>
    <w:rsid w:val="7BEF1CA4"/>
    <w:rsid w:val="7BFD0742"/>
    <w:rsid w:val="7E7AB6EF"/>
    <w:rsid w:val="7EFEE82F"/>
    <w:rsid w:val="7EFF978F"/>
    <w:rsid w:val="7F760516"/>
    <w:rsid w:val="8BFF5CDE"/>
    <w:rsid w:val="8ED666D9"/>
    <w:rsid w:val="8FBF4DBB"/>
    <w:rsid w:val="91FE7B59"/>
    <w:rsid w:val="ADA74F62"/>
    <w:rsid w:val="AFFF3F95"/>
    <w:rsid w:val="BDDF5BDB"/>
    <w:rsid w:val="BFEFE175"/>
    <w:rsid w:val="BFFF5E56"/>
    <w:rsid w:val="CBF2E151"/>
    <w:rsid w:val="D4F2D88E"/>
    <w:rsid w:val="D6AD6720"/>
    <w:rsid w:val="DAE7884D"/>
    <w:rsid w:val="DAEF07D6"/>
    <w:rsid w:val="DF9F9493"/>
    <w:rsid w:val="DFBBAB01"/>
    <w:rsid w:val="DFCB2EE0"/>
    <w:rsid w:val="DFD73A0A"/>
    <w:rsid w:val="E75F414A"/>
    <w:rsid w:val="EC67CCD2"/>
    <w:rsid w:val="EDDF3EFD"/>
    <w:rsid w:val="EFFDF177"/>
    <w:rsid w:val="F74BEDD4"/>
    <w:rsid w:val="F7DF44E4"/>
    <w:rsid w:val="FAF6CCCC"/>
    <w:rsid w:val="FB64A36A"/>
    <w:rsid w:val="FBFF4337"/>
    <w:rsid w:val="FD4DE549"/>
    <w:rsid w:val="FE7F4FC2"/>
    <w:rsid w:val="FF7D50D2"/>
    <w:rsid w:val="FFBFD337"/>
    <w:rsid w:val="FFE6D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7"/>
    <w:qFormat/>
    <w:uiPriority w:val="0"/>
    <w:pPr>
      <w:spacing w:line="580" w:lineRule="exact"/>
    </w:pPr>
    <w:rPr>
      <w:rFonts w:ascii="仿宋_GB2312" w:hAnsi="仿宋_GB2312" w:eastAsia="宋体" w:cs="Times New Roman"/>
    </w:rPr>
  </w:style>
  <w:style w:type="paragraph" w:styleId="4">
    <w:name w:val="Balloon Text"/>
    <w:basedOn w:val="1"/>
    <w:link w:val="18"/>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rPr>
      <w:rFonts w:ascii="Calibri" w:hAnsi="Calibri"/>
    </w:rPr>
  </w:style>
  <w:style w:type="character" w:styleId="10">
    <w:name w:val="Hyperlink"/>
    <w:basedOn w:val="9"/>
    <w:unhideWhenUsed/>
    <w:qFormat/>
    <w:uiPriority w:val="99"/>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paragraph" w:styleId="12">
    <w:name w:val="List Paragraph"/>
    <w:basedOn w:val="1"/>
    <w:qFormat/>
    <w:uiPriority w:val="1"/>
    <w:pPr>
      <w:autoSpaceDE w:val="0"/>
      <w:autoSpaceDN w:val="0"/>
      <w:adjustRightInd w:val="0"/>
      <w:ind w:left="106" w:firstLine="641"/>
      <w:jc w:val="left"/>
    </w:pPr>
    <w:rPr>
      <w:rFonts w:hint="eastAsia" w:ascii="方正仿宋_GBK" w:hAnsi="方正仿宋_GBK" w:eastAsia="方正仿宋_GBK" w:cs="Times New Roman"/>
      <w:kern w:val="0"/>
      <w:sz w:val="24"/>
    </w:rPr>
  </w:style>
  <w:style w:type="paragraph" w:customStyle="1" w:styleId="1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页脚 Char"/>
    <w:basedOn w:val="9"/>
    <w:link w:val="5"/>
    <w:qFormat/>
    <w:uiPriority w:val="99"/>
    <w:rPr>
      <w:rFonts w:asciiTheme="minorHAnsi" w:hAnsiTheme="minorHAnsi" w:eastAsiaTheme="minorEastAsia" w:cstheme="minorBidi"/>
      <w:kern w:val="2"/>
      <w:sz w:val="18"/>
      <w:szCs w:val="18"/>
    </w:rPr>
  </w:style>
  <w:style w:type="character" w:customStyle="1" w:styleId="17">
    <w:name w:val="正文文本 Char"/>
    <w:basedOn w:val="9"/>
    <w:link w:val="3"/>
    <w:qFormat/>
    <w:uiPriority w:val="0"/>
    <w:rPr>
      <w:rFonts w:ascii="仿宋_GB2312" w:hAnsi="仿宋_GB2312"/>
      <w:kern w:val="2"/>
      <w:sz w:val="21"/>
      <w:szCs w:val="24"/>
    </w:rPr>
  </w:style>
  <w:style w:type="character" w:customStyle="1" w:styleId="18">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C0FE3-BEE5-4307-B415-BB5457E5FA56}">
  <ds:schemaRefs/>
</ds:datastoreItem>
</file>

<file path=docProps/app.xml><?xml version="1.0" encoding="utf-8"?>
<Properties xmlns="http://schemas.openxmlformats.org/officeDocument/2006/extended-properties" xmlns:vt="http://schemas.openxmlformats.org/officeDocument/2006/docPropsVTypes">
  <Template>Normal</Template>
  <Pages>5</Pages>
  <Words>6421</Words>
  <Characters>6511</Characters>
  <Lines>27</Lines>
  <Paragraphs>7</Paragraphs>
  <TotalTime>0</TotalTime>
  <ScaleCrop>false</ScaleCrop>
  <LinksUpToDate>false</LinksUpToDate>
  <CharactersWithSpaces>6586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2024-01-22T17:39:00Z</dcterms:created>
  <dc:creator>Administrator</dc:creator>
  <cp:lastModifiedBy>刘韵姿</cp:lastModifiedBy>
  <cp:lastPrinted>2025-05-03T01:23:00Z</cp:lastPrinted>
  <dcterms:modified xsi:type="dcterms:W3CDTF">2026-05-09T11:26:56Z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07F285A10521232F86148069EBD0C4FF_43</vt:lpwstr>
  </property>
</Properties>
</file>